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8" w:space="4" w:color="4F81BD"/>
        </w:pBdr>
        <w:spacing w:lineRule="auto" w:line="240" w:before="0" w:after="300"/>
        <w:ind w:left="0" w:hanging="0"/>
        <w:contextualSpacing/>
        <w:jc w:val="center"/>
        <w:rPr>
          <w:rFonts w:ascii="Century Gothic" w:hAnsi="Century Gothic" w:eastAsia="Times New Roman" w:cs="Times New Roman"/>
          <w:b/>
          <w:b/>
          <w:color w:val="000000" w:themeColor="text1"/>
          <w:kern w:val="2"/>
          <w:sz w:val="12"/>
          <w:szCs w:val="52"/>
        </w:rPr>
      </w:pPr>
      <w:r>
        <w:rPr>
          <w:rFonts w:eastAsia="Times New Roman" w:cs="Times New Roman" w:ascii="Century Gothic" w:hAnsi="Century Gothic"/>
          <w:b/>
          <w:color w:val="000000" w:themeColor="text1"/>
          <w:kern w:val="2"/>
          <w:sz w:val="12"/>
          <w:szCs w:val="52"/>
        </w:rPr>
      </w:r>
    </w:p>
    <w:p>
      <w:pPr>
        <w:pStyle w:val="Normal"/>
        <w:rPr>
          <w:rFonts w:ascii="Century Gothic" w:hAnsi="Century Gothic"/>
          <w:b/>
          <w:b/>
          <w:bCs/>
          <w:sz w:val="32"/>
          <w:szCs w:val="28"/>
        </w:rPr>
      </w:pPr>
      <w:r>
        <w:rPr>
          <w:rFonts w:ascii="Century Gothic" w:hAnsi="Century Gothic"/>
          <w:b/>
          <w:bCs/>
          <w:sz w:val="32"/>
          <w:szCs w:val="28"/>
        </w:rPr>
        <w:t>Zásady ochrany a zpracování OÚ – veřejná listina</w:t>
      </w:r>
    </w:p>
    <w:p>
      <w:pPr>
        <w:pStyle w:val="Nadpis1"/>
        <w:keepNext w:val="false"/>
        <w:keepLines w:val="false"/>
        <w:pBdr/>
        <w:spacing w:lineRule="auto" w:line="240" w:beforeAutospacing="1" w:afterAutospacing="1"/>
        <w:ind w:left="0" w:hanging="0"/>
        <w:rPr>
          <w:rFonts w:ascii="Century Gothic" w:hAnsi="Century Gothic"/>
          <w:color w:val="auto"/>
          <w:sz w:val="22"/>
          <w:szCs w:val="20"/>
        </w:rPr>
      </w:pPr>
      <w:r>
        <w:rPr>
          <w:rFonts w:ascii="Century Gothic" w:hAnsi="Century Gothic"/>
          <w:color w:val="auto"/>
          <w:sz w:val="22"/>
          <w:szCs w:val="20"/>
        </w:rPr>
        <w:t>Účel, cíl a rozsah činnosti</w:t>
      </w:r>
    </w:p>
    <w:p>
      <w:pPr>
        <w:pStyle w:val="CANorml"/>
        <w:jc w:val="both"/>
        <w:rPr/>
      </w:pPr>
      <w:r>
        <w:rPr/>
        <w:t xml:space="preserve">Tímto dokumentem se </w:t>
      </w:r>
      <w:r>
        <w:rPr>
          <w:b/>
          <w:bCs/>
        </w:rPr>
        <w:t xml:space="preserve">organizace (správce OÚ) zavazuje uplatnit a dodržovat níže vyjmenované zásady </w:t>
      </w:r>
      <w:r>
        <w:rPr/>
        <w:t xml:space="preserve">s ohledem na nařízení Evropského parlamentu a Rady č. 2016/679, obecné nařízení o ochraně osobních údajů („Obecné nařízení o ochraně osobních údajů") </w:t>
      </w:r>
      <w:r>
        <w:rPr>
          <w:b/>
          <w:bCs/>
        </w:rPr>
        <w:t>vůči subjektu údajů (vůči zaměstnancům, dodavatelům a zákazníkům)</w:t>
      </w:r>
      <w:r>
        <w:rPr/>
        <w:t>.</w:t>
      </w:r>
    </w:p>
    <w:p>
      <w:pPr>
        <w:pStyle w:val="Nadpis1"/>
        <w:keepNext w:val="false"/>
        <w:keepLines w:val="false"/>
        <w:pBdr/>
        <w:spacing w:lineRule="auto" w:line="240" w:beforeAutospacing="1" w:afterAutospacing="1"/>
        <w:ind w:left="0" w:hanging="0"/>
        <w:rPr>
          <w:rFonts w:ascii="Century Gothic" w:hAnsi="Century Gothic"/>
          <w:color w:val="auto"/>
          <w:sz w:val="22"/>
          <w:szCs w:val="20"/>
        </w:rPr>
      </w:pPr>
      <w:r>
        <w:rPr>
          <w:rFonts w:ascii="Century Gothic" w:hAnsi="Century Gothic"/>
          <w:color w:val="auto"/>
          <w:sz w:val="22"/>
          <w:szCs w:val="20"/>
        </w:rPr>
        <w:t>Popis zásad, které organizace dodržuje</w:t>
      </w:r>
    </w:p>
    <w:p>
      <w:pPr>
        <w:pStyle w:val="CANorml"/>
        <w:jc w:val="both"/>
        <w:rPr/>
      </w:pPr>
      <w:r>
        <w:rPr>
          <w:b/>
          <w:bCs/>
        </w:rPr>
        <w:t xml:space="preserve">Organizace </w:t>
      </w:r>
      <w:r>
        <w:rPr>
          <w:b/>
          <w:bCs/>
        </w:rPr>
        <w:t>Mateřská škola Kolín II., Kmochova 335</w:t>
      </w:r>
      <w:r>
        <w:rPr/>
        <w:t>, založená a existující podle práva České republiky, se sídle</w:t>
      </w:r>
      <w:r>
        <w:rPr/>
        <w:t>m Kmochova 335, Kolín II. 28002</w:t>
      </w:r>
      <w:r>
        <w:rPr/>
        <w:t xml:space="preserve">, IČ </w:t>
      </w:r>
      <w:r>
        <w:rPr/>
        <w:t>48665274</w:t>
      </w:r>
      <w:r>
        <w:rPr/>
        <w:t xml:space="preserve">, </w:t>
      </w:r>
      <w:r>
        <w:rPr>
          <w:b/>
          <w:bCs/>
        </w:rPr>
        <w:t>je při zpracování osobních údajů vázána následujícími zásadami</w:t>
      </w:r>
      <w:r>
        <w:rPr/>
        <w:t>:</w:t>
      </w:r>
    </w:p>
    <w:p>
      <w:pPr>
        <w:pStyle w:val="CANorml"/>
        <w:rPr/>
      </w:pPr>
      <w:r>
        <w:rPr/>
      </w:r>
    </w:p>
    <w:p>
      <w:pPr>
        <w:pStyle w:val="CANorml"/>
        <w:rPr>
          <w:b/>
          <w:b/>
          <w:bCs/>
          <w:sz w:val="22"/>
        </w:rPr>
      </w:pPr>
      <w:r>
        <w:rPr>
          <w:b/>
          <w:bCs/>
          <w:sz w:val="22"/>
        </w:rPr>
        <w:t>Transparentnost a férovost</w:t>
      </w:r>
    </w:p>
    <w:p>
      <w:pPr>
        <w:pStyle w:val="Normal"/>
        <w:numPr>
          <w:ilvl w:val="0"/>
          <w:numId w:val="1"/>
        </w:numPr>
        <w:pBdr/>
        <w:spacing w:lineRule="auto" w:line="240" w:before="0" w:after="0"/>
        <w:rPr>
          <w:rFonts w:ascii="Century Gothic" w:hAnsi="Century Gothic"/>
          <w:color w:val="000000"/>
        </w:rPr>
      </w:pPr>
      <w:r>
        <w:rPr>
          <w:rFonts w:ascii="Century Gothic" w:hAnsi="Century Gothic"/>
          <w:color w:val="000000"/>
        </w:rPr>
        <w:t>Zajišťujeme, že všechny informace a všechna sdělení, týkající se zpracování těchto osobních údajů, jsou snadno přístupné a srozumitelné a podávané za použití jasných a jednoduchých jazykových prostředků</w:t>
      </w:r>
    </w:p>
    <w:p>
      <w:pPr>
        <w:pStyle w:val="CANorml"/>
        <w:rPr>
          <w:b/>
          <w:b/>
          <w:bCs/>
        </w:rPr>
      </w:pPr>
      <w:r>
        <w:rPr>
          <w:b/>
          <w:bCs/>
        </w:rPr>
      </w:r>
    </w:p>
    <w:p>
      <w:pPr>
        <w:pStyle w:val="CANorml"/>
        <w:rPr>
          <w:b/>
          <w:b/>
          <w:bCs/>
          <w:sz w:val="22"/>
        </w:rPr>
      </w:pPr>
      <w:r>
        <w:rPr>
          <w:b/>
          <w:bCs/>
          <w:sz w:val="22"/>
        </w:rPr>
        <w:t>Omezení účelem</w:t>
      </w:r>
    </w:p>
    <w:p>
      <w:pPr>
        <w:pStyle w:val="Normal"/>
        <w:numPr>
          <w:ilvl w:val="0"/>
          <w:numId w:val="1"/>
        </w:numPr>
        <w:pBdr/>
        <w:spacing w:lineRule="auto" w:line="240" w:before="0" w:after="0"/>
        <w:rPr>
          <w:rFonts w:ascii="Century Gothic" w:hAnsi="Century Gothic"/>
          <w:color w:val="000000"/>
        </w:rPr>
      </w:pPr>
      <w:r>
        <w:rPr>
          <w:rFonts w:ascii="Century Gothic" w:hAnsi="Century Gothic"/>
          <w:color w:val="000000"/>
        </w:rPr>
        <w:t>OÚ shromažďujeme jen pro relevantní účely (konkrétní, jednoznačné, oprávněné -legitimní).</w:t>
      </w:r>
    </w:p>
    <w:p>
      <w:pPr>
        <w:pStyle w:val="Normal"/>
        <w:numPr>
          <w:ilvl w:val="0"/>
          <w:numId w:val="1"/>
        </w:numPr>
        <w:pBdr/>
        <w:spacing w:lineRule="auto" w:line="240" w:before="0" w:after="0"/>
        <w:rPr>
          <w:rFonts w:ascii="Century Gothic" w:hAnsi="Century Gothic"/>
          <w:color w:val="000000"/>
        </w:rPr>
      </w:pPr>
      <w:r>
        <w:rPr>
          <w:rFonts w:ascii="Century Gothic" w:hAnsi="Century Gothic"/>
          <w:color w:val="000000"/>
        </w:rPr>
        <w:t>OÚ nezpracováváme způsobem, který je s těmito účely v rozporu.</w:t>
      </w:r>
    </w:p>
    <w:p>
      <w:pPr>
        <w:pStyle w:val="Normal"/>
        <w:numPr>
          <w:ilvl w:val="0"/>
          <w:numId w:val="1"/>
        </w:numPr>
        <w:pBdr/>
        <w:spacing w:lineRule="auto" w:line="240" w:before="0" w:after="0"/>
        <w:rPr>
          <w:rFonts w:ascii="Century Gothic" w:hAnsi="Century Gothic"/>
          <w:color w:val="000000"/>
        </w:rPr>
      </w:pPr>
      <w:r>
        <w:rPr>
          <w:rFonts w:ascii="Century Gothic" w:hAnsi="Century Gothic"/>
          <w:color w:val="000000"/>
        </w:rPr>
        <w:t>V případě změny účelu:</w:t>
      </w:r>
    </w:p>
    <w:p>
      <w:pPr>
        <w:pStyle w:val="Normal"/>
        <w:numPr>
          <w:ilvl w:val="0"/>
          <w:numId w:val="2"/>
        </w:numPr>
        <w:pBdr/>
        <w:tabs>
          <w:tab w:val="clear" w:pos="720"/>
          <w:tab w:val="left" w:pos="2100" w:leader="none"/>
        </w:tabs>
        <w:spacing w:lineRule="auto" w:line="240" w:before="0" w:after="0"/>
        <w:ind w:left="2100" w:hanging="500"/>
        <w:rPr>
          <w:rFonts w:ascii="Century Gothic" w:hAnsi="Century Gothic"/>
          <w:color w:val="000000"/>
        </w:rPr>
      </w:pPr>
      <w:r>
        <w:rPr>
          <w:rFonts w:ascii="Century Gothic" w:hAnsi="Century Gothic"/>
          <w:color w:val="000000"/>
        </w:rPr>
        <w:t>sledujeme vazbu mezi účely a okolnosti, za nichž byly osobní údaje shromážděny,</w:t>
      </w:r>
    </w:p>
    <w:p>
      <w:pPr>
        <w:pStyle w:val="Normal"/>
        <w:numPr>
          <w:ilvl w:val="0"/>
          <w:numId w:val="2"/>
        </w:numPr>
        <w:pBdr/>
        <w:tabs>
          <w:tab w:val="clear" w:pos="720"/>
          <w:tab w:val="left" w:pos="2100" w:leader="none"/>
        </w:tabs>
        <w:spacing w:lineRule="auto" w:line="240" w:before="0" w:after="0"/>
        <w:ind w:left="2100" w:hanging="500"/>
        <w:rPr>
          <w:rFonts w:ascii="Century Gothic" w:hAnsi="Century Gothic"/>
          <w:color w:val="000000"/>
        </w:rPr>
      </w:pPr>
      <w:r>
        <w:rPr>
          <w:rFonts w:ascii="Century Gothic" w:hAnsi="Century Gothic"/>
          <w:color w:val="000000"/>
        </w:rPr>
        <w:t>sledujeme povahu osobních údajů (zda jsou zpracovávány zvláštní kategorie),</w:t>
      </w:r>
    </w:p>
    <w:p>
      <w:pPr>
        <w:pStyle w:val="Normal"/>
        <w:numPr>
          <w:ilvl w:val="0"/>
          <w:numId w:val="2"/>
        </w:numPr>
        <w:pBdr/>
        <w:tabs>
          <w:tab w:val="clear" w:pos="720"/>
          <w:tab w:val="left" w:pos="2100" w:leader="none"/>
        </w:tabs>
        <w:spacing w:lineRule="auto" w:line="240" w:before="0" w:after="0"/>
        <w:ind w:left="2100" w:hanging="500"/>
        <w:rPr>
          <w:rFonts w:ascii="Century Gothic" w:hAnsi="Century Gothic"/>
          <w:color w:val="000000"/>
        </w:rPr>
      </w:pPr>
      <w:r>
        <w:rPr>
          <w:rFonts w:ascii="Century Gothic" w:hAnsi="Century Gothic"/>
          <w:color w:val="000000"/>
        </w:rPr>
        <w:t>sledujeme a minimalizujeme možné důsledky zamýšleného dalšího zpracování pro subjekty údajů,</w:t>
      </w:r>
    </w:p>
    <w:p>
      <w:pPr>
        <w:pStyle w:val="Normal"/>
        <w:numPr>
          <w:ilvl w:val="0"/>
          <w:numId w:val="2"/>
        </w:numPr>
        <w:pBdr/>
        <w:tabs>
          <w:tab w:val="clear" w:pos="720"/>
          <w:tab w:val="left" w:pos="2100" w:leader="none"/>
        </w:tabs>
        <w:spacing w:lineRule="auto" w:line="240" w:before="0" w:after="0"/>
        <w:ind w:left="2100" w:hanging="500"/>
        <w:rPr>
          <w:rFonts w:ascii="Century Gothic" w:hAnsi="Century Gothic"/>
          <w:color w:val="000000"/>
        </w:rPr>
      </w:pPr>
      <w:r>
        <w:rPr>
          <w:rFonts w:ascii="Century Gothic" w:hAnsi="Century Gothic"/>
          <w:color w:val="000000"/>
        </w:rPr>
        <w:t>zajišťujeme existenci vhodných záruk (např. šifrování nebo pseudonymizace).</w:t>
      </w:r>
    </w:p>
    <w:p>
      <w:pPr>
        <w:pStyle w:val="Normal"/>
        <w:ind w:left="2100" w:hanging="567"/>
        <w:rPr>
          <w:rFonts w:ascii="Century Gothic" w:hAnsi="Century Gothic"/>
          <w:color w:val="000000"/>
        </w:rPr>
      </w:pPr>
      <w:r>
        <w:rPr>
          <w:rFonts w:ascii="Century Gothic" w:hAnsi="Century Gothic"/>
          <w:color w:val="000000"/>
        </w:rPr>
      </w:r>
    </w:p>
    <w:p>
      <w:pPr>
        <w:pStyle w:val="CANorml"/>
        <w:rPr>
          <w:b/>
          <w:b/>
          <w:bCs/>
          <w:sz w:val="22"/>
        </w:rPr>
      </w:pPr>
      <w:r>
        <w:rPr>
          <w:b/>
          <w:bCs/>
          <w:sz w:val="22"/>
        </w:rPr>
        <w:t>Minimalizace údajů po nezbytnou dobu</w:t>
      </w:r>
    </w:p>
    <w:p>
      <w:pPr>
        <w:pStyle w:val="Normal"/>
        <w:numPr>
          <w:ilvl w:val="0"/>
          <w:numId w:val="1"/>
        </w:numPr>
        <w:pBdr/>
        <w:spacing w:lineRule="auto" w:line="240" w:before="0" w:after="0"/>
        <w:jc w:val="left"/>
        <w:rPr>
          <w:rFonts w:ascii="Century Gothic" w:hAnsi="Century Gothic"/>
          <w:color w:val="000000"/>
        </w:rPr>
      </w:pPr>
      <w:r>
        <w:rPr>
          <w:rFonts w:ascii="Century Gothic" w:hAnsi="Century Gothic"/>
          <w:color w:val="000000"/>
        </w:rPr>
        <w:t>Při zpracování OÚ dodržujeme a uplatňujeme: přiměřenost, relevantnost a omezení na nezbytný rozsah ve vztahu k účelu, pro který OÚ zpracováváme.</w:t>
      </w:r>
    </w:p>
    <w:p>
      <w:pPr>
        <w:pStyle w:val="Normal"/>
        <w:numPr>
          <w:ilvl w:val="0"/>
          <w:numId w:val="1"/>
        </w:numPr>
        <w:pBdr/>
        <w:spacing w:lineRule="auto" w:line="240" w:before="0" w:after="0"/>
        <w:rPr>
          <w:rFonts w:ascii="Century Gothic" w:hAnsi="Century Gothic"/>
          <w:color w:val="000000"/>
        </w:rPr>
      </w:pPr>
      <w:r>
        <w:rPr>
          <w:rFonts w:ascii="Century Gothic" w:hAnsi="Century Gothic"/>
          <w:color w:val="000000"/>
        </w:rPr>
        <w:t>Vždy posuzujeme, zda zásah do práv subjektu údajů, ke kterému v důsledku zpracování dojde je:</w:t>
      </w:r>
    </w:p>
    <w:p>
      <w:pPr>
        <w:pStyle w:val="Normal"/>
        <w:numPr>
          <w:ilvl w:val="0"/>
          <w:numId w:val="2"/>
        </w:numPr>
        <w:pBdr/>
        <w:tabs>
          <w:tab w:val="clear" w:pos="720"/>
          <w:tab w:val="left" w:pos="2100" w:leader="none"/>
        </w:tabs>
        <w:spacing w:lineRule="auto" w:line="240" w:before="0" w:after="0"/>
        <w:ind w:left="2100" w:hanging="500"/>
        <w:rPr>
          <w:rFonts w:ascii="Century Gothic" w:hAnsi="Century Gothic"/>
          <w:color w:val="000000"/>
        </w:rPr>
      </w:pPr>
      <w:r>
        <w:rPr>
          <w:rFonts w:ascii="Century Gothic" w:hAnsi="Century Gothic"/>
          <w:color w:val="000000"/>
        </w:rPr>
        <w:t>přiměřený,</w:t>
      </w:r>
    </w:p>
    <w:p>
      <w:pPr>
        <w:pStyle w:val="Normal"/>
        <w:numPr>
          <w:ilvl w:val="0"/>
          <w:numId w:val="2"/>
        </w:numPr>
        <w:pBdr/>
        <w:tabs>
          <w:tab w:val="clear" w:pos="720"/>
          <w:tab w:val="left" w:pos="2100" w:leader="none"/>
        </w:tabs>
        <w:spacing w:lineRule="auto" w:line="240" w:before="0" w:after="0"/>
        <w:ind w:left="2100" w:hanging="500"/>
        <w:rPr>
          <w:rFonts w:ascii="Century Gothic" w:hAnsi="Century Gothic"/>
          <w:color w:val="000000"/>
        </w:rPr>
      </w:pPr>
      <w:r>
        <w:rPr>
          <w:rFonts w:ascii="Century Gothic" w:hAnsi="Century Gothic"/>
          <w:color w:val="000000"/>
        </w:rPr>
        <w:t xml:space="preserve">legitimní vzhledem k účelu zpracovávání.  </w:t>
      </w:r>
    </w:p>
    <w:p>
      <w:pPr>
        <w:pStyle w:val="Normal"/>
        <w:numPr>
          <w:ilvl w:val="0"/>
          <w:numId w:val="1"/>
        </w:numPr>
        <w:pBdr/>
        <w:spacing w:lineRule="auto" w:line="240" w:before="0" w:after="0"/>
        <w:rPr>
          <w:rFonts w:ascii="Century Gothic" w:hAnsi="Century Gothic"/>
          <w:color w:val="000000"/>
        </w:rPr>
      </w:pPr>
      <w:r>
        <w:rPr>
          <w:rFonts w:ascii="Century Gothic" w:hAnsi="Century Gothic"/>
          <w:color w:val="000000"/>
        </w:rPr>
        <w:t xml:space="preserve">Ukáže-li se, že zpracovávání konkrétního osobního údaje k určitému účelu </w:t>
        <w:br/>
        <w:t>je nadbytečné, nebo není takové zpracovávání OÚ v souladu s GDPR, takové OÚ nezpracováváme.</w:t>
      </w:r>
    </w:p>
    <w:p>
      <w:pPr>
        <w:pStyle w:val="CANorml"/>
        <w:rPr>
          <w:b/>
          <w:b/>
          <w:bCs/>
        </w:rPr>
      </w:pPr>
      <w:r>
        <w:rPr>
          <w:b/>
          <w:bCs/>
        </w:rPr>
      </w:r>
    </w:p>
    <w:p>
      <w:pPr>
        <w:pStyle w:val="CANorml"/>
        <w:rPr>
          <w:b/>
          <w:b/>
          <w:bCs/>
          <w:sz w:val="22"/>
        </w:rPr>
      </w:pPr>
      <w:r>
        <w:rPr>
          <w:b/>
          <w:bCs/>
          <w:sz w:val="22"/>
        </w:rPr>
        <w:t>Přesnost</w:t>
      </w:r>
    </w:p>
    <w:p>
      <w:pPr>
        <w:pStyle w:val="Normal"/>
        <w:numPr>
          <w:ilvl w:val="0"/>
          <w:numId w:val="1"/>
        </w:numPr>
        <w:pBdr/>
        <w:spacing w:lineRule="auto" w:line="240" w:before="0" w:after="0"/>
        <w:jc w:val="left"/>
        <w:rPr>
          <w:rFonts w:ascii="Century Gothic" w:hAnsi="Century Gothic"/>
          <w:color w:val="000000"/>
        </w:rPr>
      </w:pPr>
      <w:r>
        <w:rPr>
          <w:rFonts w:ascii="Century Gothic" w:hAnsi="Century Gothic"/>
          <w:color w:val="000000"/>
        </w:rPr>
        <w:t>Zpracovávané OÚ uchováváme vždy přesné a dle potřeby aktualizované.</w:t>
      </w:r>
    </w:p>
    <w:p>
      <w:pPr>
        <w:pStyle w:val="Normal"/>
        <w:numPr>
          <w:ilvl w:val="0"/>
          <w:numId w:val="1"/>
        </w:numPr>
        <w:pBdr/>
        <w:spacing w:lineRule="auto" w:line="240" w:before="0" w:after="0"/>
        <w:rPr>
          <w:rFonts w:ascii="Century Gothic" w:hAnsi="Century Gothic"/>
          <w:color w:val="000000"/>
        </w:rPr>
      </w:pPr>
      <w:r>
        <w:rPr>
          <w:rFonts w:ascii="Century Gothic" w:hAnsi="Century Gothic"/>
          <w:color w:val="000000"/>
        </w:rPr>
        <w:t>Zabezpečujeme, že ty OÚ, které jsou nepřesné, jsou bezodkladně vymazány nebo opraveny:</w:t>
      </w:r>
    </w:p>
    <w:p>
      <w:pPr>
        <w:pStyle w:val="Normal"/>
        <w:numPr>
          <w:ilvl w:val="0"/>
          <w:numId w:val="2"/>
        </w:numPr>
        <w:pBdr/>
        <w:tabs>
          <w:tab w:val="clear" w:pos="720"/>
          <w:tab w:val="left" w:pos="2100" w:leader="none"/>
        </w:tabs>
        <w:spacing w:lineRule="auto" w:line="240" w:before="0" w:after="0"/>
        <w:ind w:left="2100" w:hanging="500"/>
        <w:rPr>
          <w:rFonts w:ascii="Century Gothic" w:hAnsi="Century Gothic"/>
          <w:color w:val="000000"/>
        </w:rPr>
      </w:pPr>
      <w:r>
        <w:rPr>
          <w:rFonts w:ascii="Century Gothic" w:hAnsi="Century Gothic"/>
          <w:color w:val="000000"/>
        </w:rPr>
        <w:t xml:space="preserve">přijímáme veškerá rozumná opatření, aby OÚ, které jsou nepřesné </w:t>
        <w:br/>
        <w:t>s přihlédnutím k účelům, pro které je zpracováváme, byly bezodkladně vymazány nebo opraveny.</w:t>
      </w:r>
    </w:p>
    <w:p>
      <w:pPr>
        <w:pStyle w:val="CANorml"/>
        <w:rPr>
          <w:b/>
          <w:b/>
          <w:bCs/>
          <w:sz w:val="22"/>
        </w:rPr>
      </w:pPr>
      <w:r>
        <w:rPr>
          <w:b/>
          <w:bCs/>
          <w:sz w:val="22"/>
        </w:rPr>
      </w:r>
    </w:p>
    <w:p>
      <w:pPr>
        <w:pStyle w:val="CANorml"/>
        <w:rPr>
          <w:b/>
          <w:b/>
          <w:bCs/>
          <w:sz w:val="22"/>
        </w:rPr>
      </w:pPr>
      <w:r>
        <w:rPr>
          <w:b/>
          <w:bCs/>
          <w:sz w:val="22"/>
        </w:rPr>
        <w:t>Integrita a důvěrnost</w:t>
      </w:r>
    </w:p>
    <w:p>
      <w:pPr>
        <w:pStyle w:val="Normal"/>
        <w:numPr>
          <w:ilvl w:val="0"/>
          <w:numId w:val="1"/>
        </w:numPr>
        <w:pBdr/>
        <w:spacing w:lineRule="auto" w:line="240" w:before="0" w:after="0"/>
        <w:rPr>
          <w:rFonts w:ascii="Century Gothic" w:hAnsi="Century Gothic"/>
          <w:color w:val="000000"/>
        </w:rPr>
      </w:pPr>
      <w:r>
        <w:rPr>
          <w:rFonts w:ascii="Century Gothic" w:hAnsi="Century Gothic"/>
          <w:color w:val="000000"/>
        </w:rPr>
        <w:t xml:space="preserve">Deklarujeme, že způsob zpracování OÚ zajistí náležité zabezpečení osobních údajů, včetně jejich ochrany, pomocí vhodných technických nebo organizačních opatření před: </w:t>
      </w:r>
    </w:p>
    <w:p>
      <w:pPr>
        <w:pStyle w:val="Normal"/>
        <w:numPr>
          <w:ilvl w:val="0"/>
          <w:numId w:val="2"/>
        </w:numPr>
        <w:pBdr/>
        <w:tabs>
          <w:tab w:val="clear" w:pos="720"/>
          <w:tab w:val="left" w:pos="2100" w:leader="none"/>
        </w:tabs>
        <w:spacing w:lineRule="auto" w:line="240" w:before="0" w:after="0"/>
        <w:ind w:left="2100" w:hanging="500"/>
        <w:rPr>
          <w:rFonts w:ascii="Century Gothic" w:hAnsi="Century Gothic"/>
          <w:color w:val="000000"/>
        </w:rPr>
      </w:pPr>
      <w:r>
        <w:rPr>
          <w:rFonts w:ascii="Century Gothic" w:hAnsi="Century Gothic"/>
          <w:color w:val="000000"/>
        </w:rPr>
        <w:t>neoprávněným či protiprávním zpracováním a před</w:t>
      </w:r>
    </w:p>
    <w:p>
      <w:pPr>
        <w:pStyle w:val="Normal"/>
        <w:numPr>
          <w:ilvl w:val="0"/>
          <w:numId w:val="2"/>
        </w:numPr>
        <w:pBdr/>
        <w:tabs>
          <w:tab w:val="clear" w:pos="720"/>
          <w:tab w:val="left" w:pos="2100" w:leader="none"/>
        </w:tabs>
        <w:spacing w:lineRule="auto" w:line="240" w:before="0" w:after="0"/>
        <w:ind w:left="2100" w:hanging="500"/>
        <w:rPr>
          <w:rFonts w:ascii="Century Gothic" w:hAnsi="Century Gothic"/>
          <w:color w:val="000000"/>
        </w:rPr>
      </w:pPr>
      <w:r>
        <w:rPr>
          <w:rFonts w:ascii="Century Gothic" w:hAnsi="Century Gothic"/>
          <w:color w:val="000000"/>
        </w:rPr>
        <w:t>náhodnou ztrátou, zničením nebo poškozením („integrita a důvěrnost“).</w:t>
      </w:r>
    </w:p>
    <w:p>
      <w:pPr>
        <w:pStyle w:val="Normal"/>
        <w:rPr>
          <w:rFonts w:ascii="Century Gothic" w:hAnsi="Century Gothic"/>
          <w:color w:val="000000"/>
        </w:rPr>
      </w:pPr>
      <w:r>
        <w:rPr>
          <w:rFonts w:ascii="Century Gothic" w:hAnsi="Century Gothic"/>
          <w:color w:val="000000"/>
        </w:rPr>
      </w:r>
    </w:p>
    <w:p>
      <w:pPr>
        <w:pStyle w:val="Normal"/>
        <w:rPr>
          <w:rFonts w:ascii="Century Gothic" w:hAnsi="Century Gothic"/>
          <w:color w:val="000000"/>
        </w:rPr>
      </w:pPr>
      <w:r>
        <w:rPr>
          <w:rFonts w:ascii="Century Gothic" w:hAnsi="Century Gothic"/>
          <w:color w:val="000000"/>
        </w:rPr>
      </w:r>
    </w:p>
    <w:p>
      <w:pPr>
        <w:pStyle w:val="CANorml"/>
        <w:rPr>
          <w:b/>
          <w:b/>
          <w:bCs/>
          <w:sz w:val="22"/>
        </w:rPr>
      </w:pPr>
      <w:r>
        <w:rPr>
          <w:b/>
          <w:bCs/>
          <w:sz w:val="22"/>
        </w:rPr>
        <w:t>Odpovědnost správce údajů</w:t>
      </w:r>
    </w:p>
    <w:p>
      <w:pPr>
        <w:pStyle w:val="Normal"/>
        <w:numPr>
          <w:ilvl w:val="0"/>
          <w:numId w:val="1"/>
        </w:numPr>
        <w:pBdr/>
        <w:tabs>
          <w:tab w:val="left" w:pos="720" w:leader="none"/>
        </w:tabs>
        <w:spacing w:lineRule="auto" w:line="240" w:before="0" w:after="0"/>
        <w:rPr>
          <w:rFonts w:ascii="Century Gothic" w:hAnsi="Century Gothic"/>
          <w:color w:val="000000"/>
        </w:rPr>
      </w:pPr>
      <w:r>
        <w:rPr>
          <w:rFonts w:ascii="Century Gothic" w:hAnsi="Century Gothic"/>
          <w:color w:val="000000"/>
        </w:rPr>
        <w:t>Jako správce OÚ se přihlašujeme k odpovědnosti za:</w:t>
      </w:r>
    </w:p>
    <w:p>
      <w:pPr>
        <w:pStyle w:val="Normal"/>
        <w:numPr>
          <w:ilvl w:val="0"/>
          <w:numId w:val="2"/>
        </w:numPr>
        <w:pBdr/>
        <w:tabs>
          <w:tab w:val="clear" w:pos="720"/>
          <w:tab w:val="left" w:pos="1440" w:leader="none"/>
          <w:tab w:val="left" w:pos="2100" w:leader="none"/>
        </w:tabs>
        <w:spacing w:lineRule="auto" w:line="240" w:before="0" w:after="0"/>
        <w:ind w:left="2100" w:hanging="500"/>
        <w:rPr>
          <w:rFonts w:ascii="Century Gothic" w:hAnsi="Century Gothic"/>
          <w:color w:val="000000"/>
        </w:rPr>
      </w:pPr>
      <w:r>
        <w:rPr>
          <w:rFonts w:ascii="Century Gothic" w:hAnsi="Century Gothic"/>
          <w:color w:val="000000"/>
        </w:rPr>
        <w:t>zpracovávání OÚ v souladu se zásadami GDPR a jsme schopni tento soulad také prokázat.</w:t>
      </w:r>
    </w:p>
    <w:p>
      <w:pPr>
        <w:pStyle w:val="Normal"/>
        <w:numPr>
          <w:ilvl w:val="0"/>
          <w:numId w:val="1"/>
        </w:numPr>
        <w:pBdr/>
        <w:tabs>
          <w:tab w:val="left" w:pos="720" w:leader="none"/>
        </w:tabs>
        <w:spacing w:lineRule="auto" w:line="240" w:before="0" w:after="0"/>
        <w:jc w:val="left"/>
        <w:rPr>
          <w:rFonts w:ascii="Century Gothic" w:hAnsi="Century Gothic"/>
          <w:color w:val="000000"/>
        </w:rPr>
      </w:pPr>
      <w:r>
        <w:rPr>
          <w:rFonts w:ascii="Century Gothic" w:hAnsi="Century Gothic"/>
          <w:color w:val="000000"/>
        </w:rPr>
        <w:t>Pokud budeme (správce OÚ) zpracovávat osobní údaje prostřednictvím třetí osoby  –  zpracovatele,  je  tento:</w:t>
      </w:r>
    </w:p>
    <w:p>
      <w:pPr>
        <w:pStyle w:val="Normal"/>
        <w:numPr>
          <w:ilvl w:val="0"/>
          <w:numId w:val="2"/>
        </w:numPr>
        <w:pBdr/>
        <w:tabs>
          <w:tab w:val="clear" w:pos="720"/>
          <w:tab w:val="left" w:pos="1440" w:leader="none"/>
          <w:tab w:val="left" w:pos="2100" w:leader="none"/>
        </w:tabs>
        <w:spacing w:lineRule="auto" w:line="240" w:before="0" w:after="0"/>
        <w:ind w:left="2100" w:hanging="500"/>
        <w:rPr>
          <w:rFonts w:ascii="Century Gothic" w:hAnsi="Century Gothic"/>
          <w:color w:val="000000"/>
        </w:rPr>
      </w:pPr>
      <w:r>
        <w:rPr>
          <w:rFonts w:ascii="Century Gothic" w:hAnsi="Century Gothic"/>
          <w:color w:val="000000"/>
        </w:rPr>
        <w:t>oprávněn zpracovávat osobní údaje pouze na základě pokynů nás (správce OÚ), s výjimkou případů, kdy je to vyžadováno unijním právem nebo právem členského státu (např. Policie ČR nebo OLAF).</w:t>
      </w:r>
    </w:p>
    <w:p>
      <w:pPr>
        <w:pStyle w:val="Normal"/>
        <w:tabs>
          <w:tab w:val="clear" w:pos="720"/>
          <w:tab w:val="left" w:pos="2100" w:leader="none"/>
        </w:tabs>
        <w:rPr>
          <w:rFonts w:ascii="Century Gothic" w:hAnsi="Century Gothic"/>
          <w:color w:val="000000"/>
        </w:rPr>
      </w:pPr>
      <w:r>
        <w:rPr>
          <w:rFonts w:ascii="Century Gothic" w:hAnsi="Century Gothic"/>
          <w:color w:val="000000"/>
        </w:rPr>
      </w:r>
    </w:p>
    <w:p>
      <w:pPr>
        <w:pStyle w:val="CANorml"/>
        <w:rPr>
          <w:b/>
          <w:b/>
          <w:bCs/>
          <w:sz w:val="22"/>
        </w:rPr>
      </w:pPr>
      <w:r>
        <w:rPr>
          <w:b/>
          <w:bCs/>
          <w:sz w:val="22"/>
        </w:rPr>
        <w:t>Práva subjektů údajů (zaměstnanci, dodavatelé, zákazníci)</w:t>
      </w:r>
    </w:p>
    <w:p>
      <w:pPr>
        <w:pStyle w:val="Normal"/>
        <w:numPr>
          <w:ilvl w:val="0"/>
          <w:numId w:val="1"/>
        </w:numPr>
        <w:pBdr/>
        <w:tabs>
          <w:tab w:val="left" w:pos="720" w:leader="none"/>
          <w:tab w:val="left" w:pos="1440" w:leader="none"/>
        </w:tabs>
        <w:spacing w:lineRule="auto" w:line="240" w:before="0" w:after="0"/>
        <w:rPr>
          <w:rFonts w:ascii="Century Gothic" w:hAnsi="Century Gothic"/>
          <w:color w:val="000000"/>
        </w:rPr>
      </w:pPr>
      <w:r>
        <w:rPr>
          <w:rFonts w:ascii="Century Gothic" w:hAnsi="Century Gothic"/>
          <w:color w:val="000000"/>
        </w:rPr>
        <w:t>Přijímáme (správce OÚ) taková vhodná opatření, aby subjektům údajů (zaměstnancům, dodavatelům, zákazníkům):</w:t>
      </w:r>
    </w:p>
    <w:p>
      <w:pPr>
        <w:pStyle w:val="Normal"/>
        <w:numPr>
          <w:ilvl w:val="0"/>
          <w:numId w:val="2"/>
        </w:numPr>
        <w:pBdr/>
        <w:tabs>
          <w:tab w:val="clear" w:pos="720"/>
          <w:tab w:val="left" w:pos="2100" w:leader="none"/>
        </w:tabs>
        <w:spacing w:lineRule="auto" w:line="240" w:before="0" w:after="0"/>
        <w:ind w:left="2100" w:hanging="500"/>
        <w:jc w:val="left"/>
        <w:rPr>
          <w:rFonts w:ascii="Century Gothic" w:hAnsi="Century Gothic"/>
          <w:color w:val="000000"/>
        </w:rPr>
      </w:pPr>
      <w:r>
        <w:rPr>
          <w:rFonts w:ascii="Century Gothic" w:hAnsi="Century Gothic"/>
          <w:color w:val="000000"/>
        </w:rPr>
        <w:t>byly poskytnuty veškeré informace získané od subjektu údajů,</w:t>
      </w:r>
    </w:p>
    <w:p>
      <w:pPr>
        <w:pStyle w:val="Normal"/>
        <w:numPr>
          <w:ilvl w:val="0"/>
          <w:numId w:val="2"/>
        </w:numPr>
        <w:pBdr/>
        <w:tabs>
          <w:tab w:val="clear" w:pos="720"/>
          <w:tab w:val="left" w:pos="2100" w:leader="none"/>
        </w:tabs>
        <w:spacing w:lineRule="auto" w:line="240" w:before="0" w:after="0"/>
        <w:ind w:left="2100" w:hanging="500"/>
        <w:jc w:val="left"/>
        <w:rPr>
          <w:rFonts w:ascii="Century Gothic" w:hAnsi="Century Gothic"/>
          <w:color w:val="000000"/>
        </w:rPr>
      </w:pPr>
      <w:r>
        <w:rPr>
          <w:rFonts w:ascii="Century Gothic" w:hAnsi="Century Gothic"/>
          <w:color w:val="000000"/>
        </w:rPr>
        <w:t>byla učiněna veškerá sdělení v souladu s právy subjektů údajů,</w:t>
      </w:r>
    </w:p>
    <w:p>
      <w:pPr>
        <w:pStyle w:val="Normal"/>
        <w:numPr>
          <w:ilvl w:val="0"/>
          <w:numId w:val="2"/>
        </w:numPr>
        <w:pBdr/>
        <w:tabs>
          <w:tab w:val="clear" w:pos="720"/>
          <w:tab w:val="left" w:pos="1440" w:leader="none"/>
          <w:tab w:val="left" w:pos="2100" w:leader="none"/>
        </w:tabs>
        <w:spacing w:lineRule="auto" w:line="240" w:before="0" w:after="0"/>
        <w:ind w:left="2100" w:hanging="500"/>
        <w:jc w:val="left"/>
        <w:rPr>
          <w:rFonts w:ascii="Century Gothic" w:hAnsi="Century Gothic"/>
          <w:color w:val="000000"/>
        </w:rPr>
      </w:pPr>
      <w:r>
        <w:rPr>
          <w:rFonts w:ascii="Century Gothic" w:hAnsi="Century Gothic"/>
          <w:color w:val="000000"/>
        </w:rPr>
        <w:t>a to:</w:t>
      </w:r>
    </w:p>
    <w:p>
      <w:pPr>
        <w:pStyle w:val="Normal"/>
        <w:numPr>
          <w:ilvl w:val="0"/>
          <w:numId w:val="3"/>
        </w:numPr>
        <w:pBdr/>
        <w:tabs>
          <w:tab w:val="clear" w:pos="720"/>
          <w:tab w:val="left" w:pos="2800" w:leader="none"/>
        </w:tabs>
        <w:spacing w:lineRule="auto" w:line="240" w:before="0" w:after="0"/>
        <w:ind w:left="2800" w:hanging="300"/>
        <w:rPr>
          <w:rFonts w:ascii="Century Gothic" w:hAnsi="Century Gothic"/>
          <w:color w:val="000000"/>
        </w:rPr>
      </w:pPr>
      <w:r>
        <w:rPr>
          <w:rFonts w:ascii="Century Gothic" w:hAnsi="Century Gothic"/>
          <w:color w:val="000000"/>
        </w:rPr>
        <w:t>stručným, transparentním, srozumitelným a snadno přístupným způsobem,</w:t>
      </w:r>
    </w:p>
    <w:p>
      <w:pPr>
        <w:pStyle w:val="Normal"/>
        <w:numPr>
          <w:ilvl w:val="0"/>
          <w:numId w:val="3"/>
        </w:numPr>
        <w:pBdr/>
        <w:tabs>
          <w:tab w:val="clear" w:pos="720"/>
          <w:tab w:val="left" w:pos="2800" w:leader="none"/>
        </w:tabs>
        <w:spacing w:lineRule="auto" w:line="240" w:before="0" w:after="0"/>
        <w:ind w:left="2800" w:hanging="300"/>
        <w:jc w:val="left"/>
        <w:rPr>
          <w:rFonts w:ascii="Century Gothic" w:hAnsi="Century Gothic"/>
          <w:color w:val="000000"/>
        </w:rPr>
      </w:pPr>
      <w:r>
        <w:rPr>
          <w:rFonts w:ascii="Century Gothic" w:hAnsi="Century Gothic"/>
          <w:color w:val="000000"/>
        </w:rPr>
        <w:t>za použití jasných a jednoduchých jazykových prostředků.</w:t>
      </w:r>
    </w:p>
    <w:p>
      <w:pPr>
        <w:pStyle w:val="ListParagraph"/>
        <w:numPr>
          <w:ilvl w:val="0"/>
          <w:numId w:val="4"/>
        </w:numPr>
        <w:pBdr/>
        <w:spacing w:lineRule="auto" w:line="240" w:before="0" w:after="0"/>
        <w:rPr>
          <w:rFonts w:ascii="Century Gothic" w:hAnsi="Century Gothic"/>
          <w:color w:val="000000"/>
        </w:rPr>
      </w:pPr>
      <w:r>
        <w:rPr>
          <w:rFonts w:ascii="Century Gothic" w:hAnsi="Century Gothic"/>
          <w:color w:val="000000"/>
        </w:rPr>
        <w:t>Informace poskytneme písemně nebo jinými prostředky – například v elektronické formě (ve vhodných případech).</w:t>
      </w:r>
    </w:p>
    <w:p>
      <w:pPr>
        <w:pStyle w:val="Normal"/>
        <w:numPr>
          <w:ilvl w:val="0"/>
          <w:numId w:val="1"/>
        </w:numPr>
        <w:pBdr/>
        <w:tabs>
          <w:tab w:val="left" w:pos="720" w:leader="none"/>
          <w:tab w:val="left" w:pos="1440" w:leader="none"/>
        </w:tabs>
        <w:spacing w:lineRule="auto" w:line="240" w:before="0" w:after="0"/>
        <w:rPr>
          <w:rFonts w:ascii="Century Gothic" w:hAnsi="Century Gothic"/>
          <w:color w:val="000000"/>
        </w:rPr>
      </w:pPr>
      <w:r>
        <w:rPr>
          <w:rFonts w:ascii="Century Gothic" w:hAnsi="Century Gothic"/>
          <w:color w:val="000000"/>
        </w:rPr>
        <w:t xml:space="preserve">Jako správce údajů poskytneme subjektu údajů na jeho žádost informace o přijatých opatřeních, a to: </w:t>
      </w:r>
    </w:p>
    <w:p>
      <w:pPr>
        <w:pStyle w:val="Normal"/>
        <w:numPr>
          <w:ilvl w:val="0"/>
          <w:numId w:val="2"/>
        </w:numPr>
        <w:pBdr/>
        <w:tabs>
          <w:tab w:val="clear" w:pos="720"/>
          <w:tab w:val="left" w:pos="1440" w:leader="none"/>
          <w:tab w:val="left" w:pos="2100" w:leader="none"/>
        </w:tabs>
        <w:spacing w:lineRule="auto" w:line="240" w:before="0" w:after="0"/>
        <w:ind w:left="2100" w:hanging="500"/>
        <w:rPr>
          <w:rFonts w:ascii="Century Gothic" w:hAnsi="Century Gothic"/>
          <w:color w:val="000000"/>
        </w:rPr>
      </w:pPr>
      <w:r>
        <w:rPr>
          <w:rFonts w:ascii="Century Gothic" w:hAnsi="Century Gothic"/>
          <w:color w:val="000000"/>
        </w:rPr>
        <w:t xml:space="preserve">bez zbytečného odkladu – do 1 měsíce (lhůtu je možné prodloužit </w:t>
        <w:br/>
        <w:t xml:space="preserve">o další 2 měsíce - po informování subjektu údajů s důvody </w:t>
        <w:br/>
        <w:t>o prodloužení).</w:t>
      </w:r>
    </w:p>
    <w:p>
      <w:pPr>
        <w:pStyle w:val="Normal"/>
        <w:numPr>
          <w:ilvl w:val="0"/>
          <w:numId w:val="1"/>
        </w:numPr>
        <w:pBdr/>
        <w:tabs>
          <w:tab w:val="left" w:pos="720" w:leader="none"/>
          <w:tab w:val="left" w:pos="1440" w:leader="none"/>
        </w:tabs>
        <w:spacing w:lineRule="auto" w:line="240" w:before="0" w:after="0"/>
        <w:jc w:val="left"/>
        <w:rPr>
          <w:rFonts w:ascii="Century Gothic" w:hAnsi="Century Gothic"/>
          <w:color w:val="000000"/>
        </w:rPr>
      </w:pPr>
      <w:r>
        <w:rPr>
          <w:rFonts w:ascii="Century Gothic" w:hAnsi="Century Gothic"/>
          <w:color w:val="000000"/>
        </w:rPr>
        <w:t>Informace a veškerá sdělení poskytujeme bezplatně:</w:t>
      </w:r>
    </w:p>
    <w:p>
      <w:pPr>
        <w:pStyle w:val="Normal"/>
        <w:numPr>
          <w:ilvl w:val="0"/>
          <w:numId w:val="2"/>
        </w:numPr>
        <w:pBdr/>
        <w:tabs>
          <w:tab w:val="clear" w:pos="720"/>
          <w:tab w:val="left" w:pos="1440" w:leader="none"/>
          <w:tab w:val="left" w:pos="2100" w:leader="none"/>
        </w:tabs>
        <w:spacing w:lineRule="auto" w:line="240" w:before="0" w:after="0"/>
        <w:ind w:left="2100" w:hanging="500"/>
        <w:rPr>
          <w:rFonts w:ascii="Century Gothic" w:hAnsi="Century Gothic"/>
          <w:color w:val="000000"/>
        </w:rPr>
      </w:pPr>
      <w:r>
        <w:rPr>
          <w:rFonts w:ascii="Century Gothic" w:hAnsi="Century Gothic"/>
          <w:color w:val="000000"/>
        </w:rPr>
        <w:t>jsou-li však žádosti podané subjektem údajů zjevně nedůvodné nebo nepřiměřené, či se opakují), může správce údajů uložit přiměřený poplatek zohledňující administrativní náklady nebo odmítnout žádosti vyhovět (zjevnou nedůvodnost nebo nepřiměřenost žádosti dokládá správce údajů).</w:t>
      </w:r>
    </w:p>
    <w:p>
      <w:pPr>
        <w:pStyle w:val="Normal"/>
        <w:tabs>
          <w:tab w:val="clear" w:pos="720"/>
          <w:tab w:val="left" w:pos="2100" w:leader="none"/>
        </w:tabs>
        <w:rPr>
          <w:rFonts w:ascii="Century Gothic" w:hAnsi="Century Gothic"/>
          <w:color w:val="000000"/>
        </w:rPr>
      </w:pPr>
      <w:r>
        <w:rPr>
          <w:rFonts w:ascii="Century Gothic" w:hAnsi="Century Gothic"/>
          <w:color w:val="000000"/>
        </w:rPr>
      </w:r>
    </w:p>
    <w:p>
      <w:pPr>
        <w:pStyle w:val="Normal"/>
        <w:rPr>
          <w:rFonts w:ascii="Century Gothic" w:hAnsi="Century Gothic"/>
          <w:b/>
          <w:b/>
          <w:bCs/>
          <w:color w:val="auto"/>
          <w:sz w:val="22"/>
        </w:rPr>
      </w:pPr>
      <w:r>
        <w:rPr>
          <w:rFonts w:ascii="Century Gothic" w:hAnsi="Century Gothic"/>
          <w:b/>
          <w:bCs/>
          <w:color w:val="auto"/>
          <w:sz w:val="22"/>
        </w:rPr>
        <w:t xml:space="preserve">Právo subjektu údajů na přístup k OÚ </w:t>
      </w:r>
    </w:p>
    <w:p>
      <w:pPr>
        <w:pStyle w:val="Normal"/>
        <w:numPr>
          <w:ilvl w:val="0"/>
          <w:numId w:val="1"/>
        </w:numPr>
        <w:pBdr/>
        <w:tabs>
          <w:tab w:val="left" w:pos="720" w:leader="none"/>
          <w:tab w:val="left" w:pos="1440" w:leader="none"/>
        </w:tabs>
        <w:spacing w:lineRule="auto" w:line="240" w:before="0" w:after="0"/>
        <w:rPr>
          <w:rFonts w:ascii="Century Gothic" w:hAnsi="Century Gothic"/>
          <w:color w:val="000000"/>
        </w:rPr>
      </w:pPr>
      <w:r>
        <w:rPr>
          <w:rFonts w:ascii="Century Gothic" w:hAnsi="Century Gothic"/>
          <w:color w:val="000000"/>
        </w:rPr>
        <w:t>Subjekt údajů (zaměstnanci, dodavatelé, zákazníci) má právo získat od správce OÚ potvrzení, zda osobní údaje, které se ho týkají, jsou či nejsou zpracovávány, a pokud je tomu tak, má právo získat přístup k těmto osobním údajům a k následujícím informacím:</w:t>
      </w:r>
    </w:p>
    <w:p>
      <w:pPr>
        <w:pStyle w:val="ListParagraph"/>
        <w:numPr>
          <w:ilvl w:val="2"/>
          <w:numId w:val="4"/>
        </w:numPr>
        <w:pBdr/>
        <w:tabs>
          <w:tab w:val="clear" w:pos="720"/>
          <w:tab w:val="left" w:pos="2800" w:leader="none"/>
        </w:tabs>
        <w:spacing w:lineRule="auto" w:line="240" w:before="0" w:after="0"/>
        <w:rPr>
          <w:rFonts w:ascii="Century Gothic" w:hAnsi="Century Gothic"/>
          <w:color w:val="000000"/>
        </w:rPr>
      </w:pPr>
      <w:r>
        <w:rPr>
          <w:rFonts w:ascii="Century Gothic" w:hAnsi="Century Gothic"/>
          <w:color w:val="000000"/>
        </w:rPr>
        <w:t>účely zpracování a kategorie dotčených osobních údajů,</w:t>
      </w:r>
    </w:p>
    <w:p>
      <w:pPr>
        <w:pStyle w:val="ListParagraph"/>
        <w:numPr>
          <w:ilvl w:val="2"/>
          <w:numId w:val="4"/>
        </w:numPr>
        <w:pBdr/>
        <w:tabs>
          <w:tab w:val="clear" w:pos="720"/>
          <w:tab w:val="left" w:pos="2800" w:leader="none"/>
        </w:tabs>
        <w:spacing w:lineRule="auto" w:line="240" w:before="0" w:after="0"/>
        <w:rPr>
          <w:rFonts w:ascii="Century Gothic" w:hAnsi="Century Gothic"/>
          <w:color w:val="000000"/>
        </w:rPr>
      </w:pPr>
      <w:r>
        <w:rPr>
          <w:rFonts w:ascii="Century Gothic" w:hAnsi="Century Gothic"/>
          <w:color w:val="000000"/>
        </w:rPr>
        <w:t>příjemci nebo kategorie příjemců,</w:t>
      </w:r>
    </w:p>
    <w:p>
      <w:pPr>
        <w:pStyle w:val="ListParagraph"/>
        <w:numPr>
          <w:ilvl w:val="2"/>
          <w:numId w:val="4"/>
        </w:numPr>
        <w:pBdr/>
        <w:tabs>
          <w:tab w:val="clear" w:pos="720"/>
          <w:tab w:val="left" w:pos="2800" w:leader="none"/>
        </w:tabs>
        <w:spacing w:lineRule="auto" w:line="240" w:before="0" w:after="0"/>
        <w:rPr>
          <w:rFonts w:ascii="Century Gothic" w:hAnsi="Century Gothic"/>
          <w:color w:val="000000"/>
        </w:rPr>
      </w:pPr>
      <w:r>
        <w:rPr>
          <w:rFonts w:ascii="Century Gothic" w:hAnsi="Century Gothic"/>
          <w:color w:val="000000"/>
        </w:rPr>
        <w:t xml:space="preserve">plánovaná doba, po kterou jsou osobní údaje uloženy nebo kritéria </w:t>
        <w:br/>
        <w:t>k určení,</w:t>
      </w:r>
    </w:p>
    <w:p>
      <w:pPr>
        <w:pStyle w:val="ListParagraph"/>
        <w:numPr>
          <w:ilvl w:val="2"/>
          <w:numId w:val="4"/>
        </w:numPr>
        <w:pBdr/>
        <w:tabs>
          <w:tab w:val="clear" w:pos="720"/>
          <w:tab w:val="left" w:pos="2800" w:leader="none"/>
        </w:tabs>
        <w:spacing w:lineRule="auto" w:line="240" w:before="0" w:after="0"/>
        <w:rPr>
          <w:rFonts w:ascii="Century Gothic" w:hAnsi="Century Gothic"/>
          <w:color w:val="000000"/>
        </w:rPr>
      </w:pPr>
      <w:r>
        <w:rPr>
          <w:rFonts w:ascii="Century Gothic" w:hAnsi="Century Gothic"/>
          <w:color w:val="000000"/>
        </w:rPr>
        <w:t>informace o zdroji osobních údajů, pokud nejsou získány od subjektu údajů,</w:t>
      </w:r>
    </w:p>
    <w:p>
      <w:pPr>
        <w:pStyle w:val="ListParagraph"/>
        <w:numPr>
          <w:ilvl w:val="2"/>
          <w:numId w:val="4"/>
        </w:numPr>
        <w:pBdr/>
        <w:tabs>
          <w:tab w:val="clear" w:pos="720"/>
          <w:tab w:val="left" w:pos="2800" w:leader="none"/>
        </w:tabs>
        <w:spacing w:lineRule="auto" w:line="240" w:before="0" w:after="0"/>
        <w:rPr>
          <w:rFonts w:ascii="Century Gothic" w:hAnsi="Century Gothic"/>
          <w:color w:val="000000"/>
        </w:rPr>
      </w:pPr>
      <w:r>
        <w:rPr>
          <w:rFonts w:ascii="Century Gothic" w:hAnsi="Century Gothic"/>
          <w:color w:val="000000"/>
        </w:rPr>
        <w:t>informaci, zda dochází k automatizovanému rozhodování včetně profilování.</w:t>
      </w:r>
    </w:p>
    <w:p>
      <w:pPr>
        <w:pStyle w:val="Normal"/>
        <w:numPr>
          <w:ilvl w:val="0"/>
          <w:numId w:val="1"/>
        </w:numPr>
        <w:pBdr/>
        <w:tabs>
          <w:tab w:val="left" w:pos="720" w:leader="none"/>
          <w:tab w:val="left" w:pos="1440" w:leader="none"/>
        </w:tabs>
        <w:spacing w:lineRule="auto" w:line="240" w:before="0" w:after="0"/>
        <w:rPr>
          <w:rFonts w:ascii="Century Gothic" w:hAnsi="Century Gothic"/>
          <w:color w:val="000000"/>
        </w:rPr>
      </w:pPr>
      <w:r>
        <w:rPr>
          <w:rFonts w:ascii="Century Gothic" w:hAnsi="Century Gothic"/>
          <w:color w:val="000000"/>
        </w:rPr>
        <w:t>Subjekt údajů (zaměstnanci, dodavatelé, zákazníci) má právo požadovat od správce OÚ opravu nebo výmaz nebo omezení jejich zpracování anebo vznést námitku proti tomuto zpracování.</w:t>
      </w:r>
    </w:p>
    <w:p>
      <w:pPr>
        <w:pStyle w:val="Normal"/>
        <w:numPr>
          <w:ilvl w:val="0"/>
          <w:numId w:val="1"/>
        </w:numPr>
        <w:pBdr/>
        <w:tabs>
          <w:tab w:val="left" w:pos="720" w:leader="none"/>
          <w:tab w:val="left" w:pos="1440" w:leader="none"/>
        </w:tabs>
        <w:spacing w:lineRule="auto" w:line="240" w:before="0" w:after="0"/>
        <w:rPr>
          <w:rFonts w:ascii="Century Gothic" w:hAnsi="Century Gothic"/>
          <w:color w:val="000000"/>
        </w:rPr>
      </w:pPr>
      <w:r>
        <w:rPr>
          <w:rFonts w:ascii="Century Gothic" w:hAnsi="Century Gothic"/>
          <w:color w:val="000000"/>
        </w:rPr>
        <w:t xml:space="preserve">Subjekt údajů (zaměstnanci, dodavatelé, zákazníci) má právo podat stížnost </w:t>
        <w:br/>
        <w:t>u dozorového úřadu.</w:t>
      </w:r>
    </w:p>
    <w:p>
      <w:pPr>
        <w:pStyle w:val="Normal"/>
        <w:numPr>
          <w:ilvl w:val="0"/>
          <w:numId w:val="1"/>
        </w:numPr>
        <w:pBdr/>
        <w:tabs>
          <w:tab w:val="left" w:pos="720" w:leader="none"/>
          <w:tab w:val="left" w:pos="1440" w:leader="none"/>
        </w:tabs>
        <w:spacing w:lineRule="auto" w:line="240" w:before="0" w:after="0"/>
        <w:rPr>
          <w:rFonts w:ascii="Century Gothic" w:hAnsi="Century Gothic"/>
          <w:color w:val="000000"/>
        </w:rPr>
      </w:pPr>
      <w:r>
        <w:rPr>
          <w:rFonts w:ascii="Century Gothic" w:hAnsi="Century Gothic"/>
          <w:color w:val="000000"/>
        </w:rPr>
        <w:t>Zavazujeme se (správce údajů) poskytnout kopii zpracovávaných osobních údajů subjektu údajů (zaměstnanci, dodavatelé, zákazníci). Za další kopie na žádost poskytnutí údajů účtujeme přiměřený poplatek na základě administrativních nákladů.</w:t>
      </w:r>
    </w:p>
    <w:p>
      <w:pPr>
        <w:pStyle w:val="Normal"/>
        <w:pBdr/>
        <w:spacing w:lineRule="auto" w:line="240" w:before="0" w:after="0"/>
        <w:ind w:left="720" w:hanging="0"/>
        <w:rPr>
          <w:rFonts w:ascii="Century Gothic" w:hAnsi="Century Gothic"/>
          <w:color w:val="000000"/>
        </w:rPr>
      </w:pPr>
      <w:r>
        <w:rPr>
          <w:rFonts w:ascii="Century Gothic" w:hAnsi="Century Gothic"/>
          <w:color w:val="000000"/>
        </w:rPr>
      </w:r>
    </w:p>
    <w:p>
      <w:pPr>
        <w:pStyle w:val="Normal"/>
        <w:numPr>
          <w:ilvl w:val="0"/>
          <w:numId w:val="1"/>
        </w:numPr>
        <w:pBdr/>
        <w:tabs>
          <w:tab w:val="left" w:pos="720" w:leader="none"/>
          <w:tab w:val="left" w:pos="1440" w:leader="none"/>
        </w:tabs>
        <w:spacing w:lineRule="auto" w:line="240" w:before="0" w:after="0"/>
        <w:rPr>
          <w:rFonts w:ascii="Century Gothic" w:hAnsi="Century Gothic"/>
          <w:color w:val="000000"/>
        </w:rPr>
      </w:pPr>
      <w:r>
        <w:rPr>
          <w:rFonts w:ascii="Century Gothic" w:hAnsi="Century Gothic"/>
          <w:color w:val="000000"/>
        </w:rPr>
        <w:t>Informace poskytujeme v takové formě, v jaké byla učiněna žádost, pokud subjekt údajů nepožádá o jiný způsob.</w:t>
      </w:r>
    </w:p>
    <w:p>
      <w:pPr>
        <w:pStyle w:val="Normal"/>
        <w:numPr>
          <w:ilvl w:val="0"/>
          <w:numId w:val="1"/>
        </w:numPr>
        <w:pBdr/>
        <w:tabs>
          <w:tab w:val="left" w:pos="720" w:leader="none"/>
          <w:tab w:val="left" w:pos="1440" w:leader="none"/>
        </w:tabs>
        <w:spacing w:lineRule="auto" w:line="240" w:before="0" w:after="0"/>
        <w:rPr>
          <w:rFonts w:ascii="Century Gothic" w:hAnsi="Century Gothic"/>
          <w:color w:val="000000"/>
        </w:rPr>
      </w:pPr>
      <w:r>
        <w:rPr>
          <w:rFonts w:ascii="Century Gothic" w:hAnsi="Century Gothic"/>
          <w:color w:val="000000"/>
        </w:rPr>
        <w:t xml:space="preserve">Pokud se osobní údaje předávají do třetí země nebo mezinárodní organizaci, </w:t>
        <w:br/>
        <w:t>má právo být subjekt údajů informován o vhodných zárukách.</w:t>
      </w:r>
    </w:p>
    <w:p>
      <w:pPr>
        <w:pStyle w:val="Normal"/>
        <w:rPr>
          <w:rFonts w:ascii="Century Gothic" w:hAnsi="Century Gothic"/>
          <w:color w:val="000000"/>
        </w:rPr>
      </w:pPr>
      <w:r>
        <w:rPr>
          <w:rFonts w:ascii="Century Gothic" w:hAnsi="Century Gothic"/>
          <w:color w:val="000000"/>
        </w:rPr>
      </w:r>
    </w:p>
    <w:p>
      <w:pPr>
        <w:pStyle w:val="CANorml"/>
        <w:jc w:val="both"/>
        <w:rPr>
          <w:b/>
          <w:b/>
          <w:bCs/>
          <w:sz w:val="22"/>
        </w:rPr>
      </w:pPr>
      <w:r>
        <w:rPr>
          <w:b/>
          <w:bCs/>
          <w:sz w:val="22"/>
        </w:rPr>
      </w:r>
    </w:p>
    <w:p>
      <w:pPr>
        <w:pStyle w:val="CANorml"/>
        <w:jc w:val="both"/>
        <w:rPr>
          <w:b/>
          <w:b/>
          <w:bCs/>
          <w:sz w:val="22"/>
        </w:rPr>
      </w:pPr>
      <w:r>
        <w:rPr>
          <w:b/>
          <w:bCs/>
          <w:sz w:val="22"/>
        </w:rPr>
        <w:t>Právo na opravu OÚ</w:t>
      </w:r>
    </w:p>
    <w:p>
      <w:pPr>
        <w:pStyle w:val="Normal"/>
        <w:numPr>
          <w:ilvl w:val="0"/>
          <w:numId w:val="1"/>
        </w:numPr>
        <w:pBdr/>
        <w:tabs>
          <w:tab w:val="left" w:pos="720" w:leader="none"/>
          <w:tab w:val="left" w:pos="1440" w:leader="none"/>
        </w:tabs>
        <w:spacing w:lineRule="auto" w:line="240" w:before="0" w:after="0"/>
        <w:rPr>
          <w:rFonts w:ascii="Century Gothic" w:hAnsi="Century Gothic"/>
          <w:color w:val="000000"/>
        </w:rPr>
      </w:pPr>
      <w:r>
        <w:rPr>
          <w:rFonts w:ascii="Century Gothic" w:hAnsi="Century Gothic"/>
          <w:color w:val="000000"/>
        </w:rPr>
        <w:t>Jsme si vědomi (správce údajů), že subjekt údajů (zaměstnanci, dodavatelé, zákazníci) má právo (bez zbytečného odkladu) na opravu OÚ a doplnění OÚ.</w:t>
      </w:r>
    </w:p>
    <w:p>
      <w:pPr>
        <w:pStyle w:val="Normal"/>
        <w:rPr>
          <w:rFonts w:ascii="Century Gothic" w:hAnsi="Century Gothic"/>
          <w:b/>
          <w:b/>
          <w:bCs/>
          <w:color w:val="000000"/>
        </w:rPr>
      </w:pPr>
      <w:r>
        <w:rPr>
          <w:rFonts w:ascii="Century Gothic" w:hAnsi="Century Gothic"/>
          <w:b/>
          <w:bCs/>
          <w:color w:val="000000"/>
        </w:rPr>
      </w:r>
    </w:p>
    <w:p>
      <w:pPr>
        <w:pStyle w:val="CANorml"/>
        <w:jc w:val="both"/>
        <w:rPr>
          <w:b/>
          <w:b/>
          <w:bCs/>
          <w:sz w:val="22"/>
        </w:rPr>
      </w:pPr>
      <w:r>
        <w:rPr>
          <w:b/>
          <w:bCs/>
          <w:sz w:val="22"/>
        </w:rPr>
        <w:t>Právo na výmaz OÚ</w:t>
      </w:r>
    </w:p>
    <w:p>
      <w:pPr>
        <w:pStyle w:val="Normal"/>
        <w:numPr>
          <w:ilvl w:val="0"/>
          <w:numId w:val="1"/>
        </w:numPr>
        <w:pBdr/>
        <w:tabs>
          <w:tab w:val="left" w:pos="720" w:leader="none"/>
          <w:tab w:val="left" w:pos="1440" w:leader="none"/>
        </w:tabs>
        <w:spacing w:lineRule="auto" w:line="240" w:before="0" w:after="0"/>
        <w:rPr>
          <w:rFonts w:ascii="Century Gothic" w:hAnsi="Century Gothic"/>
          <w:color w:val="000000"/>
        </w:rPr>
      </w:pPr>
      <w:r>
        <w:rPr>
          <w:rFonts w:ascii="Century Gothic" w:hAnsi="Century Gothic"/>
          <w:color w:val="000000"/>
        </w:rPr>
        <w:t xml:space="preserve">Jsme si vědomi (správce údajů), že subjekt údajů (zaměstnanci, dodavatelé, zákazníci) má právo (bez zbytečného odkladu) na výmaz OÚ a správce údajů </w:t>
        <w:br/>
        <w:t xml:space="preserve">má povinnost tak učinit, pokud zejména: </w:t>
      </w:r>
    </w:p>
    <w:p>
      <w:pPr>
        <w:pStyle w:val="Normal"/>
        <w:numPr>
          <w:ilvl w:val="0"/>
          <w:numId w:val="2"/>
        </w:numPr>
        <w:pBdr/>
        <w:tabs>
          <w:tab w:val="clear" w:pos="720"/>
          <w:tab w:val="left" w:pos="1440" w:leader="none"/>
          <w:tab w:val="left" w:pos="2100" w:leader="none"/>
        </w:tabs>
        <w:spacing w:lineRule="auto" w:line="240" w:before="0" w:after="0"/>
        <w:ind w:left="2100" w:hanging="500"/>
        <w:rPr>
          <w:rFonts w:ascii="Century Gothic" w:hAnsi="Century Gothic"/>
          <w:color w:val="000000"/>
        </w:rPr>
      </w:pPr>
      <w:r>
        <w:rPr>
          <w:rFonts w:ascii="Century Gothic" w:hAnsi="Century Gothic"/>
          <w:color w:val="000000"/>
        </w:rPr>
        <w:t>osobní údaje již nejsou potřebné pro účely, pro které byly shromážděny,</w:t>
      </w:r>
    </w:p>
    <w:p>
      <w:pPr>
        <w:pStyle w:val="Normal"/>
        <w:numPr>
          <w:ilvl w:val="0"/>
          <w:numId w:val="2"/>
        </w:numPr>
        <w:pBdr/>
        <w:tabs>
          <w:tab w:val="clear" w:pos="720"/>
          <w:tab w:val="left" w:pos="1440" w:leader="none"/>
          <w:tab w:val="left" w:pos="2100" w:leader="none"/>
        </w:tabs>
        <w:spacing w:lineRule="auto" w:line="240" w:before="0" w:after="0"/>
        <w:ind w:left="2100" w:hanging="500"/>
        <w:rPr>
          <w:rFonts w:ascii="Century Gothic" w:hAnsi="Century Gothic"/>
          <w:color w:val="000000"/>
        </w:rPr>
      </w:pPr>
      <w:r>
        <w:rPr>
          <w:rFonts w:ascii="Century Gothic" w:hAnsi="Century Gothic"/>
          <w:color w:val="000000"/>
        </w:rPr>
        <w:t xml:space="preserve">subjekt údajů (zaměstnanci, dodavatelé, zákazníci) odvolá souhlas </w:t>
        <w:br/>
        <w:t>se zpracováním,</w:t>
      </w:r>
    </w:p>
    <w:p>
      <w:pPr>
        <w:pStyle w:val="Normal"/>
        <w:numPr>
          <w:ilvl w:val="0"/>
          <w:numId w:val="2"/>
        </w:numPr>
        <w:pBdr/>
        <w:tabs>
          <w:tab w:val="clear" w:pos="720"/>
          <w:tab w:val="left" w:pos="1440" w:leader="none"/>
          <w:tab w:val="left" w:pos="2100" w:leader="none"/>
        </w:tabs>
        <w:spacing w:lineRule="auto" w:line="240" w:before="0" w:after="0"/>
        <w:ind w:left="2100" w:hanging="500"/>
        <w:jc w:val="left"/>
        <w:rPr>
          <w:rFonts w:ascii="Century Gothic" w:hAnsi="Century Gothic"/>
          <w:color w:val="000000"/>
        </w:rPr>
      </w:pPr>
      <w:r>
        <w:rPr>
          <w:rFonts w:ascii="Century Gothic" w:hAnsi="Century Gothic"/>
          <w:color w:val="000000"/>
        </w:rPr>
        <w:t>subjekt údajů vznese námitky proti zpracování,</w:t>
      </w:r>
    </w:p>
    <w:p>
      <w:pPr>
        <w:pStyle w:val="Normal"/>
        <w:numPr>
          <w:ilvl w:val="0"/>
          <w:numId w:val="2"/>
        </w:numPr>
        <w:pBdr/>
        <w:tabs>
          <w:tab w:val="clear" w:pos="720"/>
          <w:tab w:val="left" w:pos="1440" w:leader="none"/>
          <w:tab w:val="left" w:pos="2100" w:leader="none"/>
        </w:tabs>
        <w:spacing w:lineRule="auto" w:line="240" w:before="0" w:after="0"/>
        <w:ind w:left="2100" w:hanging="500"/>
        <w:jc w:val="left"/>
        <w:rPr>
          <w:rFonts w:ascii="Century Gothic" w:hAnsi="Century Gothic"/>
          <w:color w:val="000000"/>
        </w:rPr>
      </w:pPr>
      <w:r>
        <w:rPr>
          <w:rFonts w:ascii="Century Gothic" w:hAnsi="Century Gothic"/>
          <w:color w:val="000000"/>
        </w:rPr>
        <w:t>osobní údaje byly zpracovány protiprávně,</w:t>
      </w:r>
    </w:p>
    <w:p>
      <w:pPr>
        <w:pStyle w:val="Normal"/>
        <w:numPr>
          <w:ilvl w:val="0"/>
          <w:numId w:val="2"/>
        </w:numPr>
        <w:pBdr/>
        <w:tabs>
          <w:tab w:val="clear" w:pos="720"/>
          <w:tab w:val="left" w:pos="1440" w:leader="none"/>
          <w:tab w:val="left" w:pos="2100" w:leader="none"/>
        </w:tabs>
        <w:spacing w:lineRule="auto" w:line="240" w:before="0" w:after="0"/>
        <w:ind w:left="2100" w:hanging="500"/>
        <w:jc w:val="left"/>
        <w:rPr>
          <w:rFonts w:ascii="Century Gothic" w:hAnsi="Century Gothic"/>
          <w:color w:val="000000"/>
        </w:rPr>
      </w:pPr>
      <w:r>
        <w:rPr>
          <w:rFonts w:ascii="Century Gothic" w:hAnsi="Century Gothic"/>
          <w:color w:val="000000"/>
        </w:rPr>
        <w:t>z právní povinnosti.</w:t>
      </w:r>
    </w:p>
    <w:p>
      <w:pPr>
        <w:pStyle w:val="Normal"/>
        <w:tabs>
          <w:tab w:val="clear" w:pos="720"/>
          <w:tab w:val="left" w:pos="2100" w:leader="none"/>
        </w:tabs>
        <w:ind w:left="1600" w:hanging="567"/>
        <w:rPr>
          <w:rFonts w:ascii="Century Gothic" w:hAnsi="Century Gothic"/>
          <w:color w:val="000000"/>
        </w:rPr>
      </w:pPr>
      <w:r>
        <w:rPr>
          <w:rFonts w:ascii="Century Gothic" w:hAnsi="Century Gothic"/>
          <w:color w:val="000000"/>
        </w:rPr>
      </w:r>
    </w:p>
    <w:p>
      <w:pPr>
        <w:pStyle w:val="CANorml"/>
        <w:rPr>
          <w:b/>
          <w:b/>
          <w:bCs/>
          <w:sz w:val="22"/>
        </w:rPr>
      </w:pPr>
      <w:r>
        <w:rPr>
          <w:b/>
          <w:bCs/>
          <w:sz w:val="22"/>
        </w:rPr>
        <w:t>Právo subjektu údajů na omezení zpracování OÚ</w:t>
      </w:r>
    </w:p>
    <w:p>
      <w:pPr>
        <w:pStyle w:val="Normal"/>
        <w:numPr>
          <w:ilvl w:val="0"/>
          <w:numId w:val="1"/>
        </w:numPr>
        <w:pBdr/>
        <w:tabs>
          <w:tab w:val="left" w:pos="720" w:leader="none"/>
          <w:tab w:val="left" w:pos="1440" w:leader="none"/>
        </w:tabs>
        <w:spacing w:lineRule="auto" w:line="240" w:before="0" w:after="0"/>
        <w:rPr>
          <w:rFonts w:ascii="Century Gothic" w:hAnsi="Century Gothic"/>
          <w:bCs/>
          <w:color w:val="000000"/>
        </w:rPr>
      </w:pPr>
      <w:r>
        <w:rPr>
          <w:rFonts w:ascii="Century Gothic" w:hAnsi="Century Gothic"/>
          <w:color w:val="000000"/>
        </w:rPr>
        <w:t xml:space="preserve">Subjekt údajů (zaměstnanci, dodavatelé, zákazníci) má právo na to, aby správce </w:t>
      </w:r>
      <w:r>
        <w:rPr>
          <w:rFonts w:ascii="Century Gothic" w:hAnsi="Century Gothic"/>
          <w:bCs/>
          <w:color w:val="000000"/>
        </w:rPr>
        <w:t>údajů omezil zpracování, v kterémkoli z těchto případů:</w:t>
      </w:r>
    </w:p>
    <w:p>
      <w:pPr>
        <w:pStyle w:val="Normal"/>
        <w:numPr>
          <w:ilvl w:val="0"/>
          <w:numId w:val="2"/>
        </w:numPr>
        <w:pBdr/>
        <w:tabs>
          <w:tab w:val="clear" w:pos="720"/>
          <w:tab w:val="left" w:pos="1440" w:leader="none"/>
          <w:tab w:val="left" w:pos="2100" w:leader="none"/>
        </w:tabs>
        <w:spacing w:lineRule="auto" w:line="240" w:before="0" w:after="0"/>
        <w:ind w:left="2100" w:hanging="500"/>
        <w:rPr>
          <w:rFonts w:ascii="Century Gothic" w:hAnsi="Century Gothic"/>
          <w:color w:val="000000"/>
        </w:rPr>
      </w:pPr>
      <w:r>
        <w:rPr>
          <w:rFonts w:ascii="Century Gothic" w:hAnsi="Century Gothic"/>
          <w:color w:val="000000"/>
        </w:rPr>
        <w:t>subjekt údajů popírá přesnost osobních údajů,</w:t>
      </w:r>
    </w:p>
    <w:p>
      <w:pPr>
        <w:pStyle w:val="Normal"/>
        <w:numPr>
          <w:ilvl w:val="0"/>
          <w:numId w:val="2"/>
        </w:numPr>
        <w:pBdr/>
        <w:tabs>
          <w:tab w:val="clear" w:pos="720"/>
          <w:tab w:val="left" w:pos="1440" w:leader="none"/>
          <w:tab w:val="left" w:pos="2100" w:leader="none"/>
        </w:tabs>
        <w:spacing w:lineRule="auto" w:line="240" w:before="0" w:after="0"/>
        <w:ind w:left="2100" w:hanging="500"/>
        <w:rPr>
          <w:rFonts w:ascii="Century Gothic" w:hAnsi="Century Gothic"/>
          <w:color w:val="000000"/>
        </w:rPr>
      </w:pPr>
      <w:r>
        <w:rPr>
          <w:rFonts w:ascii="Century Gothic" w:hAnsi="Century Gothic"/>
          <w:color w:val="000000"/>
        </w:rPr>
        <w:t>zpracování je protiprávní a subjekt údajů odmítá výmaz osobních údajů a žádá místo toho o omezení jejich použití,</w:t>
      </w:r>
    </w:p>
    <w:p>
      <w:pPr>
        <w:pStyle w:val="Normal"/>
        <w:numPr>
          <w:ilvl w:val="0"/>
          <w:numId w:val="2"/>
        </w:numPr>
        <w:pBdr/>
        <w:tabs>
          <w:tab w:val="clear" w:pos="720"/>
          <w:tab w:val="left" w:pos="1440" w:leader="none"/>
          <w:tab w:val="left" w:pos="2100" w:leader="none"/>
        </w:tabs>
        <w:spacing w:lineRule="auto" w:line="240" w:before="0" w:after="0"/>
        <w:ind w:left="2100" w:hanging="500"/>
        <w:rPr>
          <w:rFonts w:ascii="Century Gothic" w:hAnsi="Century Gothic"/>
          <w:color w:val="000000"/>
        </w:rPr>
      </w:pPr>
      <w:r>
        <w:rPr>
          <w:rFonts w:ascii="Century Gothic" w:hAnsi="Century Gothic"/>
          <w:color w:val="000000"/>
        </w:rPr>
        <w:t xml:space="preserve">správce údajů již osobní údaje nepotřebuje pro účely zpracování, </w:t>
        <w:br/>
        <w:t>ale subjekt údajů je požaduje pro určení, výkon nebo obhajobu právních nároků,</w:t>
      </w:r>
    </w:p>
    <w:p>
      <w:pPr>
        <w:pStyle w:val="Normal"/>
        <w:numPr>
          <w:ilvl w:val="0"/>
          <w:numId w:val="2"/>
        </w:numPr>
        <w:pBdr/>
        <w:tabs>
          <w:tab w:val="clear" w:pos="720"/>
          <w:tab w:val="left" w:pos="1440" w:leader="none"/>
          <w:tab w:val="left" w:pos="2100" w:leader="none"/>
        </w:tabs>
        <w:spacing w:lineRule="auto" w:line="240" w:before="0" w:after="0"/>
        <w:ind w:left="2100" w:hanging="500"/>
        <w:rPr>
          <w:rFonts w:ascii="Century Gothic" w:hAnsi="Century Gothic"/>
          <w:color w:val="000000"/>
        </w:rPr>
      </w:pPr>
      <w:r>
        <w:rPr>
          <w:rFonts w:ascii="Century Gothic" w:hAnsi="Century Gothic"/>
          <w:color w:val="000000"/>
        </w:rPr>
        <w:t>subjekt údajů vznesl námitku proti zpracování, dokud nebude ověřeno, zda oprávněné důvody správce údajů převažují nad oprávněnými důvody subjektu údajů,</w:t>
      </w:r>
    </w:p>
    <w:p>
      <w:pPr>
        <w:pStyle w:val="CANorml"/>
        <w:numPr>
          <w:ilvl w:val="0"/>
          <w:numId w:val="1"/>
        </w:numPr>
        <w:jc w:val="both"/>
        <w:rPr>
          <w:bCs/>
        </w:rPr>
      </w:pPr>
      <w:r>
        <w:rPr>
          <w:bCs/>
        </w:rPr>
        <w:t>OÚ mohou být jen uloženy, ledaže:</w:t>
      </w:r>
    </w:p>
    <w:p>
      <w:pPr>
        <w:pStyle w:val="CANorml"/>
        <w:numPr>
          <w:ilvl w:val="2"/>
          <w:numId w:val="1"/>
        </w:numPr>
        <w:ind w:left="2127" w:hanging="567"/>
        <w:jc w:val="both"/>
        <w:rPr>
          <w:bCs/>
        </w:rPr>
      </w:pPr>
      <w:r>
        <w:rPr>
          <w:bCs/>
        </w:rPr>
        <w:t>jsou zpracovány pouze se souhlasem subjektu údajů, nebo z důvodu určení, výkonu nebo obhajoby právních nároků, z důvodu ochrany práv jiné fyzické nebo právnické osoby nebo z důvodů důležitého veřejného zájmu Unie nebo některého členského státu.</w:t>
      </w:r>
    </w:p>
    <w:p>
      <w:pPr>
        <w:pStyle w:val="CANorml"/>
        <w:numPr>
          <w:ilvl w:val="0"/>
          <w:numId w:val="6"/>
        </w:numPr>
        <w:jc w:val="both"/>
        <w:rPr>
          <w:bCs/>
        </w:rPr>
      </w:pPr>
      <w:r>
        <w:rPr>
          <w:bCs/>
        </w:rPr>
        <w:t>Subjekt údajů (zaměstnanci, dodavatelé, zákazníci), který dosáhl omezení zpracování, je správcem předem upozorněn na to, že bude omezení zpracování zrušeno.</w:t>
      </w:r>
    </w:p>
    <w:p>
      <w:pPr>
        <w:pStyle w:val="CANorml"/>
        <w:rPr>
          <w:b/>
          <w:b/>
          <w:bCs/>
        </w:rPr>
      </w:pPr>
      <w:r>
        <w:rPr>
          <w:b/>
          <w:bCs/>
        </w:rPr>
      </w:r>
    </w:p>
    <w:p>
      <w:pPr>
        <w:pStyle w:val="CANorml"/>
        <w:rPr>
          <w:b/>
          <w:b/>
          <w:bCs/>
          <w:sz w:val="22"/>
        </w:rPr>
      </w:pPr>
      <w:r>
        <w:rPr>
          <w:b/>
          <w:bCs/>
          <w:sz w:val="22"/>
        </w:rPr>
        <w:t xml:space="preserve">Právo na přenositelnost OÚ </w:t>
      </w:r>
    </w:p>
    <w:p>
      <w:pPr>
        <w:pStyle w:val="ListParagraph"/>
        <w:numPr>
          <w:ilvl w:val="0"/>
          <w:numId w:val="6"/>
        </w:numPr>
        <w:pBdr/>
        <w:spacing w:lineRule="auto" w:line="240" w:before="0" w:after="0"/>
        <w:rPr>
          <w:rFonts w:ascii="Century Gothic" w:hAnsi="Century Gothic"/>
          <w:color w:val="000000"/>
        </w:rPr>
      </w:pPr>
      <w:r>
        <w:rPr>
          <w:rFonts w:ascii="Century Gothic" w:hAnsi="Century Gothic"/>
          <w:color w:val="000000"/>
        </w:rPr>
        <w:t xml:space="preserve">Subjekt údajů (zaměstnanec, dodavatel, zákazník) má právo získat OÚ, </w:t>
        <w:br/>
        <w:t>které se ho týkají a jež poskytl správci údajů, a to:</w:t>
      </w:r>
    </w:p>
    <w:p>
      <w:pPr>
        <w:pStyle w:val="Normal"/>
        <w:numPr>
          <w:ilvl w:val="0"/>
          <w:numId w:val="2"/>
        </w:numPr>
        <w:pBdr/>
        <w:tabs>
          <w:tab w:val="clear" w:pos="720"/>
          <w:tab w:val="left" w:pos="1440" w:leader="none"/>
          <w:tab w:val="left" w:pos="2100" w:leader="none"/>
        </w:tabs>
        <w:spacing w:lineRule="auto" w:line="240" w:before="0" w:after="0"/>
        <w:ind w:left="2100" w:hanging="500"/>
        <w:rPr>
          <w:rFonts w:ascii="Century Gothic" w:hAnsi="Century Gothic"/>
          <w:color w:val="000000"/>
        </w:rPr>
      </w:pPr>
      <w:r>
        <w:rPr>
          <w:rFonts w:ascii="Century Gothic" w:hAnsi="Century Gothic"/>
          <w:color w:val="000000"/>
        </w:rPr>
        <w:t xml:space="preserve">získat ve strukturovaném, běžně používaném a strojově čitelném formátu, </w:t>
      </w:r>
    </w:p>
    <w:p>
      <w:pPr>
        <w:pStyle w:val="Normal"/>
        <w:numPr>
          <w:ilvl w:val="0"/>
          <w:numId w:val="2"/>
        </w:numPr>
        <w:pBdr/>
        <w:tabs>
          <w:tab w:val="clear" w:pos="720"/>
          <w:tab w:val="left" w:pos="1440" w:leader="none"/>
          <w:tab w:val="left" w:pos="2100" w:leader="none"/>
        </w:tabs>
        <w:spacing w:lineRule="auto" w:line="240" w:before="0" w:after="0"/>
        <w:ind w:left="2100" w:hanging="500"/>
        <w:rPr>
          <w:rFonts w:ascii="Century Gothic" w:hAnsi="Century Gothic"/>
          <w:color w:val="000000" w:themeColor="text1"/>
        </w:rPr>
      </w:pPr>
      <w:r>
        <w:rPr>
          <w:rFonts w:ascii="Century Gothic" w:hAnsi="Century Gothic"/>
          <w:color w:val="000000" w:themeColor="text1"/>
        </w:rPr>
        <w:t>právo předat tyto údaje jinému správci údajů, a to v případě, že:</w:t>
      </w:r>
    </w:p>
    <w:p>
      <w:pPr>
        <w:pStyle w:val="ListParagraph"/>
        <w:numPr>
          <w:ilvl w:val="0"/>
          <w:numId w:val="5"/>
        </w:numPr>
        <w:pBdr/>
        <w:tabs>
          <w:tab w:val="clear" w:pos="720"/>
        </w:tabs>
        <w:spacing w:lineRule="auto" w:line="240" w:before="0" w:after="0"/>
        <w:ind w:left="2694" w:hanging="426"/>
        <w:rPr>
          <w:rFonts w:ascii="Century Gothic" w:hAnsi="Century Gothic"/>
          <w:color w:val="000000" w:themeColor="text1"/>
        </w:rPr>
      </w:pPr>
      <w:r>
        <w:rPr>
          <w:rFonts w:ascii="Century Gothic" w:hAnsi="Century Gothic"/>
          <w:color w:val="000000" w:themeColor="text1"/>
        </w:rPr>
        <w:t>je zpracování založeno na souhlasu nebo na smlouvě a zároveň se zpracování provádí automatizovaně,</w:t>
      </w:r>
    </w:p>
    <w:p>
      <w:pPr>
        <w:pStyle w:val="ListParagraph"/>
        <w:numPr>
          <w:ilvl w:val="0"/>
          <w:numId w:val="5"/>
        </w:numPr>
        <w:pBdr/>
        <w:tabs>
          <w:tab w:val="clear" w:pos="720"/>
        </w:tabs>
        <w:spacing w:lineRule="auto" w:line="240" w:before="0" w:after="0"/>
        <w:ind w:left="2694" w:hanging="426"/>
        <w:rPr>
          <w:rFonts w:ascii="Century Gothic" w:hAnsi="Century Gothic"/>
          <w:color w:val="000000" w:themeColor="text1"/>
        </w:rPr>
      </w:pPr>
      <w:r>
        <w:rPr>
          <w:rFonts w:ascii="Century Gothic" w:hAnsi="Century Gothic"/>
          <w:color w:val="000000" w:themeColor="text1"/>
        </w:rPr>
        <w:t>právo na to, aby OÚ byly předány přímo jedním správcem správci údajů druhému, je-li to technicky proveditelné,</w:t>
      </w:r>
    </w:p>
    <w:p>
      <w:pPr>
        <w:pStyle w:val="ListParagraph"/>
        <w:numPr>
          <w:ilvl w:val="0"/>
          <w:numId w:val="5"/>
        </w:numPr>
        <w:pBdr/>
        <w:tabs>
          <w:tab w:val="clear" w:pos="720"/>
        </w:tabs>
        <w:spacing w:lineRule="auto" w:line="240" w:before="0" w:after="0"/>
        <w:ind w:left="2694" w:hanging="426"/>
        <w:rPr>
          <w:rFonts w:ascii="Century Gothic" w:hAnsi="Century Gothic"/>
          <w:color w:val="000000" w:themeColor="text1"/>
        </w:rPr>
      </w:pPr>
      <w:r>
        <w:rPr>
          <w:rFonts w:ascii="Century Gothic" w:hAnsi="Century Gothic"/>
          <w:color w:val="000000" w:themeColor="text1"/>
        </w:rPr>
        <w:t>výkonem práva na přenositelnost není dotčeno právo být zapomenut:</w:t>
      </w:r>
    </w:p>
    <w:p>
      <w:pPr>
        <w:pStyle w:val="Normal"/>
        <w:numPr>
          <w:ilvl w:val="0"/>
          <w:numId w:val="2"/>
        </w:numPr>
        <w:pBdr/>
        <w:tabs>
          <w:tab w:val="clear" w:pos="720"/>
          <w:tab w:val="left" w:pos="2588" w:leader="none"/>
          <w:tab w:val="left" w:pos="2692" w:leader="none"/>
        </w:tabs>
        <w:spacing w:lineRule="auto" w:line="240" w:before="0" w:after="0"/>
        <w:ind w:left="3840" w:hanging="500"/>
        <w:jc w:val="left"/>
        <w:rPr>
          <w:rFonts w:ascii="Century Gothic" w:hAnsi="Century Gothic"/>
          <w:color w:val="000000" w:themeColor="text1"/>
        </w:rPr>
      </w:pPr>
      <w:r>
        <w:rPr>
          <w:rFonts w:ascii="Century Gothic" w:hAnsi="Century Gothic"/>
          <w:color w:val="000000" w:themeColor="text1"/>
        </w:rPr>
        <w:t xml:space="preserve">toto právo se neuplatní na zpracování nezbytné </w:t>
        <w:br/>
        <w:t>pro splnění úkolu prováděného ve veřejném zájmu nebo při výkonu veřejné moci, kterým je správce údajů pověřen.</w:t>
      </w:r>
    </w:p>
    <w:p>
      <w:pPr>
        <w:pStyle w:val="Normal"/>
        <w:tabs>
          <w:tab w:val="clear" w:pos="720"/>
          <w:tab w:val="left" w:pos="2100" w:leader="none"/>
        </w:tabs>
        <w:ind w:left="0" w:hanging="0"/>
        <w:rPr>
          <w:rFonts w:ascii="Century Gothic" w:hAnsi="Century Gothic"/>
          <w:color w:val="000000"/>
        </w:rPr>
      </w:pPr>
      <w:r>
        <w:rPr>
          <w:rFonts w:ascii="Century Gothic" w:hAnsi="Century Gothic"/>
          <w:color w:val="000000"/>
        </w:rPr>
      </w:r>
      <w:bookmarkStart w:id="0" w:name="_GoBack"/>
      <w:bookmarkStart w:id="1" w:name="_GoBack"/>
      <w:bookmarkEnd w:id="1"/>
    </w:p>
    <w:p>
      <w:pPr>
        <w:pStyle w:val="Normal"/>
        <w:tabs>
          <w:tab w:val="clear" w:pos="720"/>
          <w:tab w:val="left" w:pos="2100" w:leader="none"/>
        </w:tabs>
        <w:rPr>
          <w:rFonts w:ascii="Century Gothic" w:hAnsi="Century Gothic"/>
          <w:color w:val="000000"/>
        </w:rPr>
      </w:pPr>
      <w:r>
        <w:rPr>
          <w:rFonts w:ascii="Century Gothic" w:hAnsi="Century Gothic"/>
          <w:color w:val="000000"/>
        </w:rPr>
      </w:r>
    </w:p>
    <w:p>
      <w:pPr>
        <w:pStyle w:val="CANorml"/>
        <w:rPr>
          <w:b/>
          <w:b/>
          <w:bCs/>
          <w:sz w:val="22"/>
        </w:rPr>
      </w:pPr>
      <w:r>
        <w:rPr>
          <w:b/>
          <w:bCs/>
          <w:sz w:val="22"/>
        </w:rPr>
        <w:t>Právo subjektu údajů vznést námitku</w:t>
      </w:r>
    </w:p>
    <w:p>
      <w:pPr>
        <w:pStyle w:val="ListParagraph"/>
        <w:numPr>
          <w:ilvl w:val="0"/>
          <w:numId w:val="6"/>
        </w:numPr>
        <w:pBdr/>
        <w:spacing w:lineRule="auto" w:line="240" w:before="0" w:after="0"/>
        <w:rPr>
          <w:rFonts w:ascii="Century Gothic" w:hAnsi="Century Gothic"/>
          <w:color w:val="000000"/>
        </w:rPr>
      </w:pPr>
      <w:r>
        <w:rPr>
          <w:rFonts w:ascii="Century Gothic" w:hAnsi="Century Gothic"/>
          <w:color w:val="000000"/>
        </w:rPr>
        <w:t>Subjekt údajů (zaměstnanec, dodavatel, zákazník) má z důvodů týkajících se jeho konkrétní situace (a v případě přímého marketingu kdykoli) právo vznést námitku proti zpracování svých osobních údajů. Pokud nejsou dány závažné oprávněné důvody pro zpracování:</w:t>
      </w:r>
    </w:p>
    <w:p>
      <w:pPr>
        <w:pStyle w:val="Normal"/>
        <w:numPr>
          <w:ilvl w:val="0"/>
          <w:numId w:val="2"/>
        </w:numPr>
        <w:pBdr/>
        <w:tabs>
          <w:tab w:val="clear" w:pos="720"/>
          <w:tab w:val="left" w:pos="1440" w:leader="none"/>
          <w:tab w:val="left" w:pos="2100" w:leader="none"/>
        </w:tabs>
        <w:spacing w:lineRule="auto" w:line="240" w:before="0" w:after="0"/>
        <w:ind w:left="2100" w:hanging="500"/>
        <w:jc w:val="left"/>
        <w:rPr>
          <w:rFonts w:ascii="Century Gothic" w:hAnsi="Century Gothic"/>
          <w:color w:val="000000"/>
        </w:rPr>
      </w:pPr>
      <w:r>
        <w:rPr>
          <w:rFonts w:ascii="Century Gothic" w:hAnsi="Century Gothic"/>
          <w:color w:val="000000"/>
        </w:rPr>
        <w:t>v oprávněném zájmu,</w:t>
      </w:r>
    </w:p>
    <w:p>
      <w:pPr>
        <w:pStyle w:val="Normal"/>
        <w:numPr>
          <w:ilvl w:val="0"/>
          <w:numId w:val="2"/>
        </w:numPr>
        <w:pBdr/>
        <w:tabs>
          <w:tab w:val="clear" w:pos="720"/>
          <w:tab w:val="left" w:pos="1440" w:leader="none"/>
          <w:tab w:val="left" w:pos="2100" w:leader="none"/>
        </w:tabs>
        <w:spacing w:lineRule="auto" w:line="240" w:before="0" w:after="0"/>
        <w:ind w:left="2100" w:hanging="500"/>
        <w:jc w:val="left"/>
        <w:rPr>
          <w:rFonts w:ascii="Century Gothic" w:hAnsi="Century Gothic"/>
          <w:color w:val="000000"/>
        </w:rPr>
      </w:pPr>
      <w:r>
        <w:rPr>
          <w:rFonts w:ascii="Century Gothic" w:hAnsi="Century Gothic"/>
          <w:color w:val="000000"/>
        </w:rPr>
        <w:t>ve veřejném zájmu,</w:t>
      </w:r>
    </w:p>
    <w:p>
      <w:pPr>
        <w:pStyle w:val="Normal"/>
        <w:numPr>
          <w:ilvl w:val="0"/>
          <w:numId w:val="2"/>
        </w:numPr>
        <w:pBdr/>
        <w:tabs>
          <w:tab w:val="clear" w:pos="720"/>
          <w:tab w:val="left" w:pos="1440" w:leader="none"/>
          <w:tab w:val="left" w:pos="2100" w:leader="none"/>
        </w:tabs>
        <w:spacing w:lineRule="auto" w:line="240" w:before="0" w:after="0"/>
        <w:ind w:left="2100" w:hanging="500"/>
        <w:jc w:val="left"/>
        <w:rPr>
          <w:rFonts w:ascii="Century Gothic" w:hAnsi="Century Gothic"/>
          <w:color w:val="000000"/>
        </w:rPr>
      </w:pPr>
      <w:r>
        <w:rPr>
          <w:rFonts w:ascii="Century Gothic" w:hAnsi="Century Gothic"/>
          <w:color w:val="000000"/>
        </w:rPr>
        <w:t>výkonu veřejné moci.</w:t>
      </w:r>
    </w:p>
    <w:p>
      <w:pPr>
        <w:pStyle w:val="CANorml"/>
        <w:rPr>
          <w:b/>
          <w:b/>
          <w:bCs/>
        </w:rPr>
      </w:pPr>
      <w:r>
        <w:rPr>
          <w:b/>
          <w:bCs/>
        </w:rPr>
      </w:r>
    </w:p>
    <w:p>
      <w:pPr>
        <w:pStyle w:val="CANorml"/>
        <w:rPr>
          <w:b/>
          <w:b/>
          <w:bCs/>
          <w:sz w:val="22"/>
        </w:rPr>
      </w:pPr>
      <w:r>
        <w:rPr>
          <w:b/>
          <w:bCs/>
          <w:sz w:val="22"/>
        </w:rPr>
        <w:t>Právo subjektu údajů (zaměstnavatel, zákazník, dodavatel) podat stížnost</w:t>
      </w:r>
    </w:p>
    <w:p>
      <w:pPr>
        <w:pStyle w:val="ListParagraph"/>
        <w:numPr>
          <w:ilvl w:val="0"/>
          <w:numId w:val="6"/>
        </w:numPr>
        <w:pBdr/>
        <w:spacing w:lineRule="auto" w:line="240" w:before="0" w:after="0"/>
        <w:rPr>
          <w:rFonts w:ascii="Century Gothic" w:hAnsi="Century Gothic"/>
          <w:color w:val="000000"/>
        </w:rPr>
      </w:pPr>
      <w:r>
        <w:rPr>
          <w:rFonts w:ascii="Century Gothic" w:hAnsi="Century Gothic"/>
          <w:color w:val="000000"/>
        </w:rPr>
        <w:t xml:space="preserve">Každý subjekt údajů má právo podat stížnost dozorovému úřadu v Evropské unii, pokud se domnívá, že zpracováním jeho osobních údajů je porušen Zákon o ochraně osobních údajů a/nebo obecné nařízení o ochraně osobních údajů. Místně příslušným dozorovým úřadem v České republice je Úřad pro ochranu osobních údajů, se sídlem Pplk. Sochora 27, 170 00 Praha 7, </w:t>
      </w:r>
      <w:hyperlink r:id="rId2">
        <w:r>
          <w:rPr>
            <w:rFonts w:ascii="Century Gothic" w:hAnsi="Century Gothic"/>
            <w:color w:val="000000"/>
          </w:rPr>
          <w:t>www.uoou.cz</w:t>
        </w:r>
      </w:hyperlink>
      <w:r>
        <w:rPr>
          <w:rFonts w:ascii="Century Gothic" w:hAnsi="Century Gothic"/>
          <w:color w:val="000000"/>
        </w:rPr>
        <w:t>.</w:t>
      </w:r>
    </w:p>
    <w:p>
      <w:pPr>
        <w:pStyle w:val="Normal"/>
        <w:rPr>
          <w:rFonts w:ascii="Century Gothic" w:hAnsi="Century Gothic"/>
        </w:rPr>
      </w:pPr>
      <w:r>
        <w:rPr>
          <w:rFonts w:ascii="Century Gothic" w:hAnsi="Century Gothic"/>
        </w:rPr>
      </w:r>
    </w:p>
    <w:p>
      <w:pPr>
        <w:pStyle w:val="Normal"/>
        <w:rPr>
          <w:rFonts w:ascii="Century Gothic" w:hAnsi="Century Gothic"/>
        </w:rPr>
      </w:pPr>
      <w:r>
        <w:rPr>
          <w:rFonts w:ascii="Century Gothic" w:hAnsi="Century Gothic"/>
        </w:rPr>
      </w:r>
    </w:p>
    <w:p>
      <w:pPr>
        <w:pStyle w:val="Normal"/>
        <w:pBdr/>
        <w:spacing w:before="0" w:after="0"/>
        <w:ind w:left="0" w:hanging="0"/>
        <w:jc w:val="left"/>
        <w:rPr>
          <w:rFonts w:ascii="Century Gothic" w:hAnsi="Century Gothic" w:eastAsia="Times New Roman" w:cs="Times New Roman"/>
          <w:color w:val="000000" w:themeColor="text1"/>
        </w:rPr>
      </w:pPr>
      <w:r>
        <w:rPr>
          <w:rFonts w:eastAsia="Times New Roman" w:cs="Times New Roman" w:ascii="Century Gothic" w:hAnsi="Century Gothic"/>
          <w:color w:val="000000" w:themeColor="text1"/>
        </w:rPr>
      </w:r>
    </w:p>
    <w:p>
      <w:pPr>
        <w:pStyle w:val="Normal"/>
        <w:pBdr/>
        <w:spacing w:lineRule="auto" w:line="240" w:before="0" w:after="0"/>
        <w:ind w:left="0" w:hanging="0"/>
        <w:jc w:val="left"/>
        <w:rPr>
          <w:rFonts w:ascii="Century Gothic" w:hAnsi="Century Gothic" w:eastAsia="Times New Roman" w:cs="Times New Roman"/>
          <w:color w:val="000000" w:themeColor="text1"/>
        </w:rPr>
      </w:pPr>
      <w:r>
        <w:rPr/>
      </w:r>
    </w:p>
    <w:sectPr>
      <w:footerReference w:type="default" r:id="rId3"/>
      <w:type w:val="nextPage"/>
      <w:pgSz w:w="11906" w:h="16838"/>
      <w:pgMar w:left="1134" w:right="1134" w:header="0" w:top="928" w:footer="127" w:bottom="1134" w:gutter="0"/>
      <w:pgNumType w:start="1"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Cambria">
    <w:charset w:val="ee"/>
    <w:family w:val="roman"/>
    <w:pitch w:val="variable"/>
  </w:font>
  <w:font w:name="Tahoma">
    <w:charset w:val="ee"/>
    <w:family w:val="roman"/>
    <w:pitch w:val="variable"/>
  </w:font>
  <w:font w:name="Century Gothic">
    <w:charset w:val="ee"/>
    <w:family w:val="roman"/>
    <w:pitch w:val="variable"/>
  </w:font>
  <w:font w:name="Liberation Sans">
    <w:altName w:val="Arial"/>
    <w:charset w:val="ee"/>
    <w:family w:val="swiss"/>
    <w:pitch w:val="variable"/>
  </w:font>
  <w:font w:name="Georgia">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rFonts w:ascii="Century Gothic" w:hAnsi="Century Gothic"/>
        <w:color w:val="17365D"/>
        <w:sz w:val="20"/>
        <w:szCs w:val="20"/>
      </w:rPr>
    </w:pPr>
    <w:r>
      <w:rPr>
        <w:rFonts w:ascii="Century Gothic" w:hAnsi="Century Gothic"/>
        <w:color w:val="17365D"/>
        <w:sz w:val="20"/>
        <w:szCs w:val="20"/>
      </w:rPr>
      <w:t xml:space="preserve">Celkový počet stran dokumentu: </w:t>
    </w:r>
    <w:r>
      <w:rPr>
        <w:rFonts w:ascii="Century Gothic" w:hAnsi="Century Gothic"/>
        <w:color w:val="17365D"/>
        <w:sz w:val="20"/>
        <w:szCs w:val="20"/>
      </w:rPr>
      <w:fldChar w:fldCharType="begin"/>
    </w:r>
    <w:r>
      <w:rPr>
        <w:sz w:val="20"/>
        <w:szCs w:val="20"/>
        <w:rFonts w:ascii="Century Gothic" w:hAnsi="Century Gothic"/>
        <w:color w:val="17365D"/>
      </w:rPr>
      <w:instrText> NUMPAGES \* ARABIC </w:instrText>
    </w:r>
    <w:r>
      <w:rPr>
        <w:sz w:val="20"/>
        <w:szCs w:val="20"/>
        <w:rFonts w:ascii="Century Gothic" w:hAnsi="Century Gothic"/>
        <w:color w:val="17365D"/>
      </w:rPr>
      <w:fldChar w:fldCharType="separate"/>
    </w:r>
    <w:r>
      <w:rPr>
        <w:sz w:val="20"/>
        <w:szCs w:val="20"/>
        <w:rFonts w:ascii="Century Gothic" w:hAnsi="Century Gothic"/>
        <w:color w:val="17365D"/>
      </w:rPr>
      <w:t>3</w:t>
    </w:r>
    <w:r>
      <w:rPr>
        <w:sz w:val="20"/>
        <w:szCs w:val="20"/>
        <w:rFonts w:ascii="Century Gothic" w:hAnsi="Century Gothic"/>
        <w:color w:val="17365D"/>
      </w:rPr>
      <w:fldChar w:fldCharType="end"/>
    </w:r>
    <w:r>
      <w:rPr>
        <w:rFonts w:ascii="Century Gothic" w:hAnsi="Century Gothic"/>
        <w:color w:val="17365D"/>
        <w:sz w:val="20"/>
        <w:szCs w:val="20"/>
      </w:rPr>
      <w:tab/>
      <w:tab/>
      <w:t xml:space="preserve">z toho strana: </w:t>
    </w:r>
    <w:r>
      <w:rPr>
        <w:rFonts w:ascii="Century Gothic" w:hAnsi="Century Gothic"/>
        <w:color w:val="17365D"/>
        <w:sz w:val="20"/>
        <w:szCs w:val="20"/>
      </w:rPr>
      <w:fldChar w:fldCharType="begin"/>
    </w:r>
    <w:r>
      <w:rPr>
        <w:sz w:val="20"/>
        <w:szCs w:val="20"/>
        <w:rFonts w:ascii="Century Gothic" w:hAnsi="Century Gothic"/>
        <w:color w:val="17365D"/>
      </w:rPr>
      <w:instrText> PAGE </w:instrText>
    </w:r>
    <w:r>
      <w:rPr>
        <w:sz w:val="20"/>
        <w:szCs w:val="20"/>
        <w:rFonts w:ascii="Century Gothic" w:hAnsi="Century Gothic"/>
        <w:color w:val="17365D"/>
      </w:rPr>
      <w:fldChar w:fldCharType="separate"/>
    </w:r>
    <w:r>
      <w:rPr>
        <w:sz w:val="20"/>
        <w:szCs w:val="20"/>
        <w:rFonts w:ascii="Century Gothic" w:hAnsi="Century Gothic"/>
        <w:color w:val="17365D"/>
      </w:rPr>
      <w:t>3</w:t>
    </w:r>
    <w:r>
      <w:rPr>
        <w:sz w:val="20"/>
        <w:szCs w:val="20"/>
        <w:rFonts w:ascii="Century Gothic" w:hAnsi="Century Gothic"/>
        <w:color w:val="17365D"/>
      </w:rPr>
      <w:fldChar w:fldCharType="end"/>
    </w:r>
  </w:p>
  <w:p>
    <w:pPr>
      <w:pStyle w:val="Zpat"/>
      <w:rPr/>
    </w:pPr>
    <w:r>
      <w:rPr/>
    </w:r>
  </w:p>
  <w:p>
    <w:pPr>
      <w:pStyle w:val="Normal"/>
      <w:tabs>
        <w:tab w:val="clear" w:pos="720"/>
        <w:tab w:val="center" w:pos="4536" w:leader="none"/>
        <w:tab w:val="right" w:pos="9072" w:leader="none"/>
      </w:tabs>
      <w:spacing w:lineRule="auto" w:line="240" w:before="0" w:after="0"/>
      <w:jc w:val="righ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4B4B4D"/>
        <w:lang w:val="cs-CZ" w:eastAsia="cs-CZ"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54dce"/>
    <w:pPr>
      <w:widowControl/>
      <w:pBdr/>
      <w:bidi w:val="0"/>
      <w:spacing w:lineRule="auto" w:line="276" w:before="0" w:after="120"/>
      <w:ind w:left="567" w:hanging="567"/>
      <w:jc w:val="both"/>
    </w:pPr>
    <w:rPr>
      <w:rFonts w:ascii="Arial" w:hAnsi="Arial" w:eastAsia="Arial" w:cs="Arial"/>
      <w:color w:val="4B4B4D"/>
      <w:kern w:val="0"/>
      <w:sz w:val="20"/>
      <w:szCs w:val="20"/>
      <w:lang w:val="cs-CZ" w:eastAsia="cs-CZ" w:bidi="ar-SA"/>
    </w:rPr>
  </w:style>
  <w:style w:type="paragraph" w:styleId="Nadpis1">
    <w:name w:val="Heading 1"/>
    <w:basedOn w:val="Normal"/>
    <w:next w:val="Normal"/>
    <w:qFormat/>
    <w:rsid w:val="00654dce"/>
    <w:pPr>
      <w:keepNext w:val="true"/>
      <w:keepLines/>
      <w:spacing w:before="480" w:after="120"/>
      <w:jc w:val="left"/>
      <w:outlineLvl w:val="0"/>
    </w:pPr>
    <w:rPr>
      <w:b/>
      <w:color w:val="F29400"/>
      <w:sz w:val="32"/>
      <w:szCs w:val="32"/>
    </w:rPr>
  </w:style>
  <w:style w:type="paragraph" w:styleId="Nadpis2">
    <w:name w:val="Heading 2"/>
    <w:basedOn w:val="Normal"/>
    <w:next w:val="Normal"/>
    <w:qFormat/>
    <w:rsid w:val="00654dce"/>
    <w:pPr>
      <w:keepNext w:val="true"/>
      <w:keepLines/>
      <w:spacing w:before="240" w:after="120"/>
      <w:jc w:val="left"/>
      <w:outlineLvl w:val="1"/>
    </w:pPr>
    <w:rPr>
      <w:b/>
      <w:sz w:val="24"/>
      <w:szCs w:val="24"/>
    </w:rPr>
  </w:style>
  <w:style w:type="paragraph" w:styleId="Nadpis3">
    <w:name w:val="Heading 3"/>
    <w:basedOn w:val="Normal"/>
    <w:next w:val="Normal"/>
    <w:qFormat/>
    <w:rsid w:val="00654dce"/>
    <w:pPr>
      <w:keepNext w:val="true"/>
      <w:keepLines/>
      <w:spacing w:before="240" w:after="0"/>
      <w:jc w:val="left"/>
      <w:outlineLvl w:val="2"/>
    </w:pPr>
    <w:rPr>
      <w:b/>
    </w:rPr>
  </w:style>
  <w:style w:type="paragraph" w:styleId="Nadpis4">
    <w:name w:val="Heading 4"/>
    <w:basedOn w:val="Normal"/>
    <w:next w:val="Normal"/>
    <w:qFormat/>
    <w:rsid w:val="00654dce"/>
    <w:pPr>
      <w:keepNext w:val="true"/>
      <w:keepLines/>
      <w:spacing w:before="240" w:after="120"/>
      <w:outlineLvl w:val="3"/>
    </w:pPr>
    <w:rPr>
      <w:b/>
    </w:rPr>
  </w:style>
  <w:style w:type="paragraph" w:styleId="Nadpis5">
    <w:name w:val="Heading 5"/>
    <w:basedOn w:val="Normal"/>
    <w:next w:val="Normal"/>
    <w:qFormat/>
    <w:rsid w:val="00654dce"/>
    <w:pPr>
      <w:keepNext w:val="true"/>
      <w:keepLines/>
      <w:spacing w:before="220" w:after="40"/>
      <w:outlineLvl w:val="4"/>
    </w:pPr>
    <w:rPr>
      <w:b/>
      <w:sz w:val="22"/>
      <w:szCs w:val="22"/>
    </w:rPr>
  </w:style>
  <w:style w:type="paragraph" w:styleId="Nadpis6">
    <w:name w:val="Heading 6"/>
    <w:basedOn w:val="Normal"/>
    <w:next w:val="Normal"/>
    <w:qFormat/>
    <w:rsid w:val="00654dce"/>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qFormat/>
    <w:rsid w:val="00f37040"/>
    <w:rPr>
      <w:rFonts w:ascii="Cambria" w:hAnsi="Cambria" w:eastAsia="" w:cs="" w:asciiTheme="minorHAnsi" w:cstheme="minorBidi" w:eastAsiaTheme="minorEastAsia" w:hAnsiTheme="minorHAnsi"/>
      <w:color w:val="auto"/>
      <w:sz w:val="22"/>
      <w:szCs w:val="22"/>
    </w:rPr>
  </w:style>
  <w:style w:type="character" w:styleId="TextbublinyChar" w:customStyle="1">
    <w:name w:val="Text bubliny Char"/>
    <w:basedOn w:val="DefaultParagraphFont"/>
    <w:link w:val="Textbubliny"/>
    <w:uiPriority w:val="99"/>
    <w:semiHidden/>
    <w:qFormat/>
    <w:rsid w:val="00f37040"/>
    <w:rPr>
      <w:rFonts w:ascii="Tahoma" w:hAnsi="Tahoma" w:cs="Tahoma"/>
      <w:sz w:val="16"/>
      <w:szCs w:val="16"/>
    </w:rPr>
  </w:style>
  <w:style w:type="character" w:styleId="Annotationreference">
    <w:name w:val="annotation reference"/>
    <w:basedOn w:val="DefaultParagraphFont"/>
    <w:uiPriority w:val="99"/>
    <w:semiHidden/>
    <w:unhideWhenUsed/>
    <w:qFormat/>
    <w:rsid w:val="00f37040"/>
    <w:rPr>
      <w:sz w:val="16"/>
      <w:szCs w:val="16"/>
    </w:rPr>
  </w:style>
  <w:style w:type="character" w:styleId="TextkomenteChar" w:customStyle="1">
    <w:name w:val="Text komentáře Char"/>
    <w:basedOn w:val="DefaultParagraphFont"/>
    <w:link w:val="Textkomente"/>
    <w:uiPriority w:val="99"/>
    <w:semiHidden/>
    <w:qFormat/>
    <w:rsid w:val="00f37040"/>
    <w:rPr/>
  </w:style>
  <w:style w:type="character" w:styleId="PedmtkomenteChar" w:customStyle="1">
    <w:name w:val="Předmět komentáře Char"/>
    <w:basedOn w:val="TextkomenteChar"/>
    <w:link w:val="Pedmtkomente"/>
    <w:uiPriority w:val="99"/>
    <w:semiHidden/>
    <w:qFormat/>
    <w:rsid w:val="00f37040"/>
    <w:rPr>
      <w:b/>
      <w:bCs/>
    </w:rPr>
  </w:style>
  <w:style w:type="character" w:styleId="ZpatChar" w:customStyle="1">
    <w:name w:val="Zápatí Char"/>
    <w:basedOn w:val="DefaultParagraphFont"/>
    <w:link w:val="Zpat"/>
    <w:uiPriority w:val="99"/>
    <w:qFormat/>
    <w:rsid w:val="00f37040"/>
    <w:rPr>
      <w:rFonts w:ascii="Cambria" w:hAnsi="Cambria" w:eastAsia="Cambria" w:cs="" w:asciiTheme="minorHAnsi" w:cstheme="minorBidi" w:eastAsiaTheme="minorHAnsi" w:hAnsiTheme="minorHAnsi"/>
      <w:color w:val="auto"/>
      <w:sz w:val="21"/>
      <w:szCs w:val="21"/>
    </w:rPr>
  </w:style>
  <w:style w:type="character" w:styleId="CANormlChar" w:customStyle="1">
    <w:name w:val="CA Normál Char"/>
    <w:basedOn w:val="DefaultParagraphFont"/>
    <w:link w:val="CANorml"/>
    <w:uiPriority w:val="99"/>
    <w:qFormat/>
    <w:locked/>
    <w:rsid w:val="00054d61"/>
    <w:rPr>
      <w:rFonts w:ascii="Century Gothic" w:hAnsi="Century Gothic" w:eastAsia="Times New Roman" w:cs="Century Gothic"/>
      <w:color w:val="000000"/>
    </w:rPr>
  </w:style>
  <w:style w:type="character" w:styleId="OdstavecseseznamemChar" w:customStyle="1">
    <w:name w:val="Odstavec se seznamem Char"/>
    <w:link w:val="Odstavecseseznamem"/>
    <w:uiPriority w:val="99"/>
    <w:qFormat/>
    <w:locked/>
    <w:rsid w:val="00054d61"/>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zev">
    <w:name w:val="Title"/>
    <w:basedOn w:val="Normal"/>
    <w:next w:val="Normal"/>
    <w:qFormat/>
    <w:rsid w:val="00654dce"/>
    <w:pPr>
      <w:keepNext w:val="true"/>
      <w:keepLines/>
      <w:spacing w:before="480" w:after="120"/>
    </w:pPr>
    <w:rPr>
      <w:b/>
      <w:sz w:val="72"/>
      <w:szCs w:val="72"/>
    </w:rPr>
  </w:style>
  <w:style w:type="paragraph" w:styleId="Podtitul">
    <w:name w:val="Subtitle"/>
    <w:basedOn w:val="Normal"/>
    <w:next w:val="Normal"/>
    <w:qFormat/>
    <w:rsid w:val="00654dce"/>
    <w:pPr>
      <w:keepNext w:val="true"/>
      <w:keepLines/>
      <w:spacing w:before="360" w:after="80"/>
    </w:pPr>
    <w:rPr>
      <w:rFonts w:ascii="Georgia" w:hAnsi="Georgia" w:eastAsia="Georgia" w:cs="Georgia"/>
      <w:i/>
      <w:color w:val="666666"/>
      <w:sz w:val="48"/>
      <w:szCs w:val="48"/>
    </w:rPr>
  </w:style>
  <w:style w:type="paragraph" w:styleId="Zhlavazpat">
    <w:name w:val="Záhlaví a zápatí"/>
    <w:basedOn w:val="Normal"/>
    <w:qFormat/>
    <w:pPr/>
    <w:rPr/>
  </w:style>
  <w:style w:type="paragraph" w:styleId="Zhlav">
    <w:name w:val="Header"/>
    <w:basedOn w:val="Normal"/>
    <w:link w:val="ZhlavChar"/>
    <w:uiPriority w:val="99"/>
    <w:unhideWhenUsed/>
    <w:rsid w:val="00f37040"/>
    <w:pPr>
      <w:pBdr/>
      <w:tabs>
        <w:tab w:val="clear" w:pos="720"/>
        <w:tab w:val="center" w:pos="4680" w:leader="none"/>
        <w:tab w:val="right" w:pos="9360" w:leader="none"/>
      </w:tabs>
      <w:spacing w:lineRule="auto" w:line="240" w:before="0" w:after="0"/>
      <w:ind w:left="0" w:hanging="0"/>
      <w:jc w:val="left"/>
    </w:pPr>
    <w:rPr>
      <w:rFonts w:ascii="Cambria" w:hAnsi="Cambria" w:eastAsia="" w:cs="" w:asciiTheme="minorHAnsi" w:cstheme="minorBidi" w:eastAsiaTheme="minorEastAsia" w:hAnsiTheme="minorHAnsi"/>
      <w:color w:val="auto"/>
      <w:sz w:val="22"/>
      <w:szCs w:val="22"/>
    </w:rPr>
  </w:style>
  <w:style w:type="paragraph" w:styleId="BalloonText">
    <w:name w:val="Balloon Text"/>
    <w:basedOn w:val="Normal"/>
    <w:link w:val="TextbublinyChar"/>
    <w:uiPriority w:val="99"/>
    <w:semiHidden/>
    <w:unhideWhenUsed/>
    <w:qFormat/>
    <w:rsid w:val="00f37040"/>
    <w:pPr>
      <w:spacing w:lineRule="auto" w:line="240" w:before="0" w:after="0"/>
    </w:pPr>
    <w:rPr>
      <w:rFonts w:ascii="Tahoma" w:hAnsi="Tahoma" w:cs="Tahoma"/>
      <w:sz w:val="16"/>
      <w:szCs w:val="16"/>
    </w:rPr>
  </w:style>
  <w:style w:type="paragraph" w:styleId="Annotationtext">
    <w:name w:val="annotation text"/>
    <w:basedOn w:val="Normal"/>
    <w:link w:val="TextkomenteChar"/>
    <w:uiPriority w:val="99"/>
    <w:semiHidden/>
    <w:unhideWhenUsed/>
    <w:qFormat/>
    <w:rsid w:val="00f37040"/>
    <w:pPr>
      <w:spacing w:lineRule="auto" w:line="240"/>
    </w:pPr>
    <w:rPr/>
  </w:style>
  <w:style w:type="paragraph" w:styleId="Annotationsubject">
    <w:name w:val="annotation subject"/>
    <w:basedOn w:val="Annotationtext"/>
    <w:next w:val="Annotationtext"/>
    <w:link w:val="PedmtkomenteChar"/>
    <w:uiPriority w:val="99"/>
    <w:semiHidden/>
    <w:unhideWhenUsed/>
    <w:qFormat/>
    <w:rsid w:val="00f37040"/>
    <w:pPr/>
    <w:rPr>
      <w:b/>
      <w:bCs/>
    </w:rPr>
  </w:style>
  <w:style w:type="paragraph" w:styleId="Zpat">
    <w:name w:val="Footer"/>
    <w:basedOn w:val="Normal"/>
    <w:link w:val="ZpatChar"/>
    <w:uiPriority w:val="99"/>
    <w:unhideWhenUsed/>
    <w:rsid w:val="00f37040"/>
    <w:pPr>
      <w:pBdr/>
      <w:tabs>
        <w:tab w:val="clear" w:pos="720"/>
        <w:tab w:val="center" w:pos="4680" w:leader="none"/>
        <w:tab w:val="right" w:pos="9360" w:leader="none"/>
      </w:tabs>
      <w:spacing w:lineRule="auto" w:line="240" w:before="0" w:after="0"/>
      <w:ind w:left="0" w:hanging="0"/>
      <w:jc w:val="left"/>
    </w:pPr>
    <w:rPr>
      <w:rFonts w:ascii="Cambria" w:hAnsi="Cambria" w:eastAsia="Cambria" w:cs="" w:asciiTheme="minorHAnsi" w:cstheme="minorBidi" w:eastAsiaTheme="minorHAnsi" w:hAnsiTheme="minorHAnsi"/>
      <w:color w:val="auto"/>
      <w:sz w:val="21"/>
      <w:szCs w:val="21"/>
    </w:rPr>
  </w:style>
  <w:style w:type="paragraph" w:styleId="ListParagraph">
    <w:name w:val="List Paragraph"/>
    <w:basedOn w:val="Normal"/>
    <w:link w:val="OdstavecseseznamemChar"/>
    <w:uiPriority w:val="99"/>
    <w:qFormat/>
    <w:rsid w:val="0022250e"/>
    <w:pPr>
      <w:spacing w:before="0" w:after="120"/>
      <w:ind w:left="720" w:hanging="567"/>
      <w:contextualSpacing/>
    </w:pPr>
    <w:rPr/>
  </w:style>
  <w:style w:type="paragraph" w:styleId="CANorml" w:customStyle="1">
    <w:name w:val="CA Normál"/>
    <w:basedOn w:val="Normal"/>
    <w:link w:val="CANormlChar"/>
    <w:uiPriority w:val="99"/>
    <w:qFormat/>
    <w:rsid w:val="00054d61"/>
    <w:pPr>
      <w:pBdr/>
      <w:spacing w:lineRule="auto" w:line="240" w:before="0" w:after="0"/>
      <w:ind w:left="0" w:hanging="0"/>
      <w:jc w:val="left"/>
    </w:pPr>
    <w:rPr>
      <w:rFonts w:ascii="Century Gothic" w:hAnsi="Century Gothic" w:eastAsia="Times New Roman" w:cs="Century Gothic"/>
      <w:color w:val="000000"/>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customStyle="1" w:styleId="TableNormal1">
    <w:name w:val="Table Normal1"/>
    <w:rsid w:val="00654dce"/>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oou.cz/"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D2334-0052-4D99-9DFC-46419F6E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LibreOffice/7.1.3.2$Windows_X86_64 LibreOffice_project/47f78053abe362b9384784d31a6e56f8511eb1c1</Application>
  <AppVersion>15.0000</AppVersion>
  <Pages>3</Pages>
  <Words>1343</Words>
  <Characters>7887</Characters>
  <CharactersWithSpaces>9091</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2021-05-25T08:25:00Z</dcterms:created>
  <dc:creator>Jarda</dc:creator>
  <dc:description/>
  <dc:language>cs-CZ</dc:language>
  <cp:lastModifiedBy/>
  <cp:lastPrinted>2018-06-26T10:14:00Z</cp:lastPrinted>
  <dcterms:modified xsi:type="dcterms:W3CDTF">2021-06-02T15:23:04Z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